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61" w:rsidRDefault="00944B61">
      <w:pPr>
        <w:pStyle w:val="ConsPlusNormal"/>
        <w:jc w:val="right"/>
        <w:outlineLvl w:val="0"/>
      </w:pPr>
      <w:bookmarkStart w:id="0" w:name="_GoBack"/>
      <w:bookmarkEnd w:id="0"/>
      <w:r>
        <w:t>Приложение 7</w:t>
      </w:r>
    </w:p>
    <w:p w:rsidR="00944B61" w:rsidRDefault="00944B61">
      <w:pPr>
        <w:pStyle w:val="ConsPlusNormal"/>
        <w:jc w:val="right"/>
      </w:pPr>
      <w:r>
        <w:t>к постановлению Правительства</w:t>
      </w:r>
    </w:p>
    <w:p w:rsidR="00944B61" w:rsidRDefault="00944B61">
      <w:pPr>
        <w:pStyle w:val="ConsPlusNormal"/>
        <w:jc w:val="right"/>
      </w:pPr>
      <w:r>
        <w:t>Ханты-Мансийского</w:t>
      </w:r>
    </w:p>
    <w:p w:rsidR="00944B61" w:rsidRDefault="00944B61">
      <w:pPr>
        <w:pStyle w:val="ConsPlusNormal"/>
        <w:jc w:val="right"/>
      </w:pPr>
      <w:r>
        <w:t>автономного округа - Югры</w:t>
      </w:r>
    </w:p>
    <w:p w:rsidR="00944B61" w:rsidRDefault="00944B61">
      <w:pPr>
        <w:pStyle w:val="ConsPlusNormal"/>
        <w:jc w:val="right"/>
      </w:pPr>
      <w:r>
        <w:t>от 30 декабря 2021 года N 637-п</w:t>
      </w:r>
    </w:p>
    <w:p w:rsidR="00944B61" w:rsidRDefault="00944B61">
      <w:pPr>
        <w:pStyle w:val="ConsPlusNormal"/>
      </w:pPr>
    </w:p>
    <w:p w:rsidR="00944B61" w:rsidRDefault="00944B61">
      <w:pPr>
        <w:pStyle w:val="ConsPlusTitle"/>
        <w:jc w:val="center"/>
      </w:pPr>
      <w:r>
        <w:t>ПОРЯДОК</w:t>
      </w:r>
    </w:p>
    <w:p w:rsidR="00944B61" w:rsidRDefault="00944B61">
      <w:pPr>
        <w:pStyle w:val="ConsPlusTitle"/>
        <w:jc w:val="center"/>
      </w:pPr>
      <w:r>
        <w:t>ПРЕДОСТАВЛЕНИЯ ГРАНТА В ФОРМЕ СУБСИДИИ НА РЕАЛИЗАЦИЮ</w:t>
      </w:r>
    </w:p>
    <w:p w:rsidR="00944B61" w:rsidRDefault="00944B61">
      <w:pPr>
        <w:pStyle w:val="ConsPlusTitle"/>
        <w:jc w:val="center"/>
      </w:pPr>
      <w:r>
        <w:t>ПРОЕКТОВ ПО ЗАГОТОВКЕ И ПЕРЕРАБОТКЕ ДИКОРОСОВ</w:t>
      </w:r>
    </w:p>
    <w:p w:rsidR="00944B61" w:rsidRDefault="00944B61">
      <w:pPr>
        <w:pStyle w:val="ConsPlusTitle"/>
        <w:jc w:val="center"/>
      </w:pPr>
      <w:r>
        <w:t>(ДАЛЕЕ - ПОРЯДОК)</w:t>
      </w:r>
    </w:p>
    <w:p w:rsidR="00944B61" w:rsidRDefault="00944B61">
      <w:pPr>
        <w:pStyle w:val="ConsPlusNormal"/>
      </w:pPr>
    </w:p>
    <w:p w:rsidR="00944B61" w:rsidRDefault="00944B61">
      <w:pPr>
        <w:pStyle w:val="ConsPlusTitle"/>
        <w:jc w:val="center"/>
        <w:outlineLvl w:val="1"/>
      </w:pPr>
      <w:r>
        <w:t>I. Общие положения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Normal"/>
        <w:ind w:firstLine="540"/>
        <w:jc w:val="both"/>
      </w:pPr>
      <w:bookmarkStart w:id="1" w:name="Par13"/>
      <w:bookmarkEnd w:id="1"/>
      <w:r>
        <w:t xml:space="preserve">1.1. Порядок определяет цель, условия, правила предоставления гранта в форме субсидии на финансовое обеспечение затрат на реализацию проектов по заготовке и переработке дикоросов по основному </w:t>
      </w:r>
      <w:hyperlink r:id="rId4" w:history="1">
        <w:r>
          <w:rPr>
            <w:color w:val="0000FF"/>
          </w:rPr>
          <w:t>мероприятию 4.1</w:t>
        </w:r>
      </w:hyperlink>
      <w:r>
        <w:t xml:space="preserve"> "Государственная поддержка развития системы заготовки и переработки дикоросов" подпрограммы 4 "Поддержка развития системы заготовки и переработки дикоросов, стимулирование развития агропромышленного комплекса"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473-п, в пределах средств, предусмотренных на эти цели в бюджете Ханты-Мансийского автономного округа - Югры (далее - автономный округ) на текущий год, доведенных на указанные цели.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2" w:name="Par14"/>
      <w:bookmarkEnd w:id="2"/>
      <w:r>
        <w:t>1.2. Понятия, используемые в Порядке: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Грант - бюджетные ассигнования, перечисляемые из бюджета автономного округа в соответствии с отбором, проведенным комиссией по оценке и отбору заявок на предоставление субсидий, грантов в форме субсидий Получателю на финансовое обеспечение его затрат, связанных с реализацией проекта по созданию и (или) развитию на территории автономного округа объектов по заготовке и переработке дикоросов, не возмещаемых по иным направлениям государственной поддержки, предусмотренным настоящим Постановлением (далее - Постановление);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Получатели средств из бюджета автономного округа - юридические лица (за исключением государственных (муниципальных) учреждений), которые не находятся в процессе реорганизации (за исключением реорганизации в форме присоединения к юридическому лицу, являющемуся Получателем средств из бюджета автономного округа,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крестьянские (фермерские) хозяйства, индивидуальные предприниматели, которые не прекратили деятельность в качестве таковых (на основании информации, содержащейся в Едином федеральном реестре сведений о банкротстве, размещенной в открытом доступе в сети Интернет по адресу https://bankrot.fedresurs.ru/), осуществляющие деятельность на территории автономного округа;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Комиссия - комиссия по оценке и отбору заявок на предоставление субсидий, грантов в форме субсидий, осуществляющая отбор проектов Получателей средств из бюджета автономного округа в форме очного собеседования или видео-конференц-связи,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которой утверждено приложением 23 к настоящему Постановлению;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3" w:name="Par18"/>
      <w:bookmarkEnd w:id="3"/>
      <w:r>
        <w:t xml:space="preserve">проект - бизнес-план по созданию и (или) развитию на территории автономного округа объектов по заготовке и переработке дикоросов, составленный в произвольной форме, который </w:t>
      </w:r>
      <w:r>
        <w:lastRenderedPageBreak/>
        <w:t xml:space="preserve">содержит перечень затрат, указанных в </w:t>
      </w:r>
      <w:hyperlink w:anchor="Par96" w:tooltip="3.2. Получатель средств из бюджета автономного округа, которому предоставлен Грант, не может получить государственную поддержку по иным мероприятиям Постановления в отношении расходов, понесенных в соответствии с планом расходов." w:history="1">
        <w:r>
          <w:rPr>
            <w:color w:val="0000FF"/>
          </w:rPr>
          <w:t>пункте 3.2</w:t>
        </w:r>
      </w:hyperlink>
      <w:r>
        <w:t xml:space="preserve"> Порядка, условия использования Гранта, плановые показатели деятельности, обязательство по исполнению которых включается в соглашение о предоставлении Гранта, заключаемое между Получателем средств из бюджета автономного округа и Департаментом промышленности автономного округа (далее - Департамент).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1.3. Грант предоставляет Департамент,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его предоставление в соответствующем финансовом году.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4" w:name="Par20"/>
      <w:bookmarkEnd w:id="4"/>
      <w:r>
        <w:t>1.4. Критерии отбора Получателей средств из бюджета автономного округа: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представил проект со сроком окупаемости не более 5 лет;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 получает средства государственной поддержки по иным мероприятиям Постановления в части расходов, указанных в проекте, представляемом для участия в конкурсе на предоставление Гранта (далее - Конкурс);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ранее не являлся получателем Гранта;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обязуется оплачивать за счет собственных средств не менее 30% стоимости каждого наименования приобретений, запланированных проектом;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осуществление деятельности на территории автономного округа;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наличие на праве собственности и (или) аренды земельного участка с правом пользования, соответствующим направлению деятельности проекта;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обязуется осуществлять деятельность в течение не менее 5 лет с даты подписания соглашения о предоставлении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1.5. Предоставленный Грант не может быть использован Получателем средств из бюджета автономного округа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Отбор Получателей Гранта проводится посредством проведения конкурса (далее - Конкурс).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Title"/>
        <w:jc w:val="center"/>
        <w:outlineLvl w:val="1"/>
      </w:pPr>
      <w:r>
        <w:t>II. Порядок проведения Конкурса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Normal"/>
        <w:ind w:firstLine="540"/>
        <w:jc w:val="both"/>
      </w:pPr>
      <w:bookmarkStart w:id="5" w:name="Par33"/>
      <w:bookmarkEnd w:id="5"/>
      <w:r>
        <w:t xml:space="preserve">2.1. Требования, которым должны соответствовать Получатели средств из бюджета автономного округа на 15-е число месяца, предшествующего месяцу регистрации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не иметь просроченную задолженность по возврату в бюджет автономного округа субсидий, </w:t>
      </w:r>
      <w:r>
        <w:lastRenderedPageBreak/>
        <w:t>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автономного округа;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не получать средства из бюджета автономного округа на основании иных нормативных правовых актов на цели, указанные в </w:t>
      </w:r>
      <w:hyperlink w:anchor="Par13" w:tooltip="1.1. Порядок определяет цель, условия, правила предоставления гранта в форме субсидии на финансовое обеспечение затрат на реализацию проектов по заготовке и переработке дикоросов по основному мероприятию 4.1 &quot;Государственная поддержка развития системы заготовки и переработки дикоросов&quot; подпрограммы 4 &quot;Поддержка развития системы заготовки и переработки дикоросов, стимулирование развития агропромышленного комплекса&quot; государственной программы Ханты-Мансийского автономного округа - Югры &quot;Развитие агропромышл..." w:history="1">
        <w:r>
          <w:rPr>
            <w:color w:val="0000FF"/>
          </w:rPr>
          <w:t>пункте 1.1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Департамент проверяет наличие (отсутствие) сведений о дисквалифицированных руководителе, членах коллегиального исполнительного органа, лице, исполняющем обязанности единоличного исполнительного органа, или главном бухгалтере участника конкурса, об индивидуальном предпринимателе с применением электронного сервиса Федеральной налоговой службы "Реестр дисквалифицированных лиц".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6" w:name="Par39"/>
      <w:bookmarkEnd w:id="6"/>
      <w:r>
        <w:t>2.2. Департамент приказом объявляет Конкурс.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Срок проведения Конкурса, форму заявки для участия в Конкурсе, срок и место его проведения утверждает своим приказом Департамент.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Конкурс проводится не реже 1 раза в год при наличии лимитов бюджетных обязательств в бюджете автономного округа, предусмотренных для предоставления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Департамент не позднее 1 сентября текущего года размещает на едином портале (при наличии технической возможности) и на официальном сайте Департамента объявление о его проведении, которое содержит информацию, предусмотренную </w:t>
      </w:r>
      <w:hyperlink r:id="rId6" w:history="1">
        <w:r>
          <w:rPr>
            <w:color w:val="0000FF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 (далее - соглашение).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Срок приема документов, указанных в </w:t>
      </w:r>
      <w:hyperlink w:anchor="Par39" w:tooltip="2.2. Департамент приказом объявляет Конкурс." w:history="1">
        <w:r>
          <w:rPr>
            <w:color w:val="0000FF"/>
          </w:rPr>
          <w:t>пункте 2.2</w:t>
        </w:r>
      </w:hyperlink>
      <w:r>
        <w:t xml:space="preserve"> Порядка, составляет не менее 30 календарных дней с даты размещения объявления о Конкурсе.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7" w:name="Par45"/>
      <w:bookmarkEnd w:id="7"/>
      <w:r>
        <w:t xml:space="preserve">2.3. Получатели средств из бюджета автономного округа представляют в Департамент </w:t>
      </w:r>
      <w:r>
        <w:lastRenderedPageBreak/>
        <w:t>следующие документы (подлинники или их заверенные копии):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1) заявка для участия в Конкурсе по форме, установленной Департаментом, которая включает согласие на публикацию (размещение) в информационно-коммуникационной сети Интернет информации о Получателе средств из бюджета автономного округа, иной информации, связанной с предоставлением Гранта, согласие на обработку персональных данных по форме, утвержденной Департаментом и размещенной на его официальном сайте (принимается не более 1 заявки Получателя средств из бюджета автономного округа);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2) проект в произвольной форме с учетом требований, установленных </w:t>
      </w:r>
      <w:hyperlink w:anchor="Par18" w:tooltip="проект - бизнес-план по созданию и (или) развитию на территории автономного округа объектов по заготовке и переработке дикоросов, составленный в произвольной форме, который содержит перечень затрат, указанных в пункте 3.2 Порядка, условия использования Гранта, плановые показатели деятельности, обязательство по исполнению которых включается в соглашение о предоставлении Гранта, заключаемое между Получателем средств из бюджета автономного округа и Департаментом промышленности автономного округа (далее - Де..." w:history="1">
        <w:r>
          <w:rPr>
            <w:color w:val="0000FF"/>
          </w:rPr>
          <w:t>абзацем пятым пункта 1.2</w:t>
        </w:r>
      </w:hyperlink>
      <w:r>
        <w:t xml:space="preserve"> Порядка, со сроком окупаемости не более 5 лет;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3) план расходов по форме, установленной Департаментом и размещенной на его официальном сайте (далее - план расходов);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4) справку о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 (далее - Депфин Югры) и размещенной на его официальном сайте.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Копии документов заверяет руководитель Получателя средств из бюджета автономного округа с указанием должности, фамилии и инициалов, даты заверения, оттиском печати (при наличии) на каждом листе из представленных документов.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2.4. Должностное лицо Департамента, ответственное за прием и регистрацию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в течение 1 рабочего дня с даты поступления регистрирует их и передает должностному лицу Департамента, ответственному за их рассмотрение.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Способом фиксации результата регистрации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является регистрация в программном продукте "Система автоматизации делопроизводства и электронного документооборота "Дело" (далее - СЭД) с указанием даты, времени регистрации, с присвоением регистрационного номера.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Уведомление о регистрации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подписанное руководителем Департамента или лицом, его замещающим, вручается Получателю средств из бюджета автономного округа лично или направляется почтовой связью в течение 2 рабочих дней с даты их регистрации.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В случае соответствия Получателей средств из бюджета автономного округа требованиям, предусмотренным Порядком,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 (далее - список). Список составляет должностное лицо Департамента, ответственное за рассмотрение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в произвольной форме. Документам присваиваются номера в соответствии с регистрацией в СЭД.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2.5. Департамент в течение 3 рабочих дней с даты регистрации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запрашивает в порядке межведомственного информационного взаимодействия, установленного законодательством Российской Федерации, следующие документы (сведения):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lastRenderedPageBreak/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индивидуальных предпринимателей (в Федеральной налоговой службе Российской Федерации);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Получатель средств из бюджета автономного округа вправе по собственной инициативе представить указанные документы и сведения.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8" w:name="Par60"/>
      <w:bookmarkEnd w:id="8"/>
      <w:r>
        <w:t>2.6. Требовать от Получателя средств из бюджета автономного округа представления документов (их копий), не предусмотренных Порядком, не допускается.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2.7. Документы (копии документов), предусмотренные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Порядка, Получатель средств из бюджета автономного округа представляет в Департамент по адресу: 628011, Ханты-Мансийский автономный округ - Югра, г. Ханты-Мансийск, ул. Рознина, д. 64, сформированными в 1 прошнурованный и пронумерованный комплект, непосредственно, почтовым отправлением. Наименования, номера и даты представленных документов, количество листов в них вносятся в опись, составляемую в 2 экземплярах, оригинал которой с отметкой о дате, времени и должностном лице, принявшем их, остается у Получателя средств из бюджета автономного округа, копия прилагается к представленным документам.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2.8. Департамент в течение 10 рабочих дней с даты окончания приема заявок рассматривает их и представленные Получателями средств из бюджета автономного округа документы на предмет соответствия Порядку и достоверности содержащихся в них сведений.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При выявлении оснований для отказа в участии в Конкурсе, предусмотренных </w:t>
      </w:r>
      <w:hyperlink w:anchor="Par65" w:tooltip="2.9. Основания для отказа в участии в Конкурсе:" w:history="1">
        <w:r>
          <w:rPr>
            <w:color w:val="0000FF"/>
          </w:rPr>
          <w:t>пунктом 2.9</w:t>
        </w:r>
      </w:hyperlink>
      <w:r>
        <w:t xml:space="preserve"> Порядка, Департамент в течение 3 рабочих дней со дня принятия соответствующего решения направляет почтовым отправлением или вручает Получателю средств из бюджета автономного округа уведомление об отказе в участии в Конкурсе, подписанное руководителем Департамента или лицом, его замещающим.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и проекты, представленные Получателями средств из бюджета автономного округа, на рассмотрение Комиссии.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9" w:name="Par65"/>
      <w:bookmarkEnd w:id="9"/>
      <w:r>
        <w:t>2.9. Основания для отказа в участии в Конкурсе: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1) несоответствие Получателя средств из бюджета автономного округа условиям, установленным </w:t>
      </w:r>
      <w:hyperlink w:anchor="Par14" w:tooltip="1.2. Понятия, используемые в Порядке: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ar20" w:tooltip="1.4. Критерии отбора Получателей средств из бюджета автономного округа:" w:history="1">
        <w:r>
          <w:rPr>
            <w:color w:val="0000FF"/>
          </w:rPr>
          <w:t>1.4</w:t>
        </w:r>
      </w:hyperlink>
      <w:r>
        <w:t xml:space="preserve">, </w:t>
      </w:r>
      <w:hyperlink w:anchor="Par33" w:tooltip="2.1. Требования, которым должны соответствовать Получатели средств из бюджета автономного округа на 15-е число месяца, предшествующего месяцу регистрации документов, указанных в пункте 2.3 Порядка:" w:history="1">
        <w:r>
          <w:rPr>
            <w:color w:val="0000FF"/>
          </w:rPr>
          <w:t>2.1</w:t>
        </w:r>
      </w:hyperlink>
      <w:r>
        <w:t xml:space="preserve">, </w:t>
      </w:r>
      <w:hyperlink w:anchor="Par96" w:tooltip="3.2. Получатель средств из бюджета автономного округа, которому предоставлен Грант, не может получить государственную поддержку по иным мероприятиям Постановления в отношении расходов, понесенных в соответствии с планом расходов." w:history="1">
        <w:r>
          <w:rPr>
            <w:color w:val="0000FF"/>
          </w:rPr>
          <w:t>3.2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2) нарушение срока представления заявки и документов в соответствии с </w:t>
      </w:r>
      <w:hyperlink w:anchor="Par33" w:tooltip="2.1. Требования, которым должны соответствовать Получатели средств из бюджета автономного округа на 15-е число месяца, предшествующего месяцу регистрации документов, указанных в пункте 2.3 Порядка:" w:history="1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3) непредставление (представление не в полном объеме) документов, указанных в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пункте 2.3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lastRenderedPageBreak/>
        <w:t xml:space="preserve">4) представление документов с нарушением требований к их оформлению, установленных </w:t>
      </w:r>
      <w:hyperlink w:anchor="Par45" w:tooltip="2.3. Получатели средств из бюджета автономного округа представляют в Департамент следующие документы (подлинники или их заверенные копии):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ar60" w:tooltip="2.6. Требовать от Получателя средств из бюджета автономного округа представления документов (их копий), не предусмотренных Порядком, не допускается." w:history="1">
        <w:r>
          <w:rPr>
            <w:color w:val="0000FF"/>
          </w:rPr>
          <w:t>2.6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5) недостоверность информации, содержащейся в документах, представленных Получателем средств из бюджета автономного округа, в том числе информации о месте нахождения и адресе.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2.10. Комиссия в течение 5 рабочих дней с даты поступления заявок рассматривает их и прилагаемые документы, составляет рейтинг согласно </w:t>
      </w:r>
      <w:hyperlink r:id="rId7" w:history="1">
        <w:r>
          <w:rPr>
            <w:color w:val="0000FF"/>
          </w:rPr>
          <w:t>таблице 5</w:t>
        </w:r>
      </w:hyperlink>
      <w:r>
        <w:t xml:space="preserve"> приложения 23 к настоящему Постановлению, подписывает протокол заседания Комиссии (далее - протокол) и направляет его в Департамент.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Прошедшими Конкурс считаются Получатели средств из бюджета автономного округа, чьи документы набрали по итогам рейтингования более 5 баллов.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2.11. Департамент в течение 5 рабочих дней с даты получения протокола принимает решение о заключении Соглашения или об отказе в его заключении, утверждает его приказом.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2.12. Департамент в течение 5 рабочих дней с даты подписания приказа размещает на едином портале и на Сайте информацию о рассмотрении заявок, включающую следующие сведения: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дата, время и место проведения рассмотрения заявок;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дата, время и место оценки заявок (проектов);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информация об участниках конкурса, заявки которых были рассмотрены;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информация об участниках конкурса, заявки которых были отклонены, с указанием причин их отклонения, в том числе положений объявления, которым они не соответствуют;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последовательность оценки заявок (проектов), присвоенные заявкам (проектам) участников конкурса значения по каждому из предусмотренных критериев оценки, принятое на основании результатов оценки заявок (проектов) решение;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наименование Получателей средств из бюджета автономного округа, с которыми заключаются Соглашения, и размер предоставляемого им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Title"/>
        <w:jc w:val="center"/>
        <w:outlineLvl w:val="1"/>
      </w:pPr>
      <w:r>
        <w:t>III. Условия и порядок предоставления Гранта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Normal"/>
        <w:ind w:firstLine="540"/>
        <w:jc w:val="both"/>
      </w:pPr>
      <w:r>
        <w:t>3.1. Основанием для перечисления Гранта является Соглашение, заключенное между Департаментом и Получателем средств из бюджета автономного округа по форме, установленной Департаментом финансов автономного округа (далее - Депфин Югры).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 соглашение в дополнение к условиям, установленным Депфином Югры, включаются: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перечень документов, подтверждающих возникновение денежных обязательств;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lastRenderedPageBreak/>
        <w:t>согласие Получателя средств из бюджета автономного округа, а также лиц, получивших средства на основании договоров, заключенных с Получателями, на осуществление в отношении них Департаментом и органами государственного финансового контроля проверок соблюдения целей, условий и порядка предоставления Гранта;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обязательство Получателя средств из бюджета автономного округа оплачивать не менее 30% стоимости каждого наименования приобретаемого имущества, выполняемых работ, оказываемых услуг, указанных в плане расходов;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обязательство Получателя средств из бюджета автономного округа использовать Грант не позднее 18 месяцев со дня подписания Соглашения и использовать имущество, закупаемое за счет Гранта, исключительно на развитие Получателя средств из бюджета автономного округа в соответствии с проектом;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обязательство Получателя средств из бюджета автономного округа обеспечить создание не менее 1 нового постоянного рабочего места в срок не более 18 месяцев со дня подписания Соглашения;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Гранта, дополнительной отчетности при ее установлении;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обязательство Получателя средств из бюджета автономного округа осуществлять деятельность в течение не менее 5 лет со дня подписания Соглашения;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условиям, включая возможность его расторжения по соглашению сторон.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Департамент вправе устанавливать в Соглашении порядок, сроки и формы представления Получателем средств из бюджета автономного округа дополнительной отчетности.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10" w:name="Par96"/>
      <w:bookmarkEnd w:id="10"/>
      <w:r>
        <w:t>3.2. Получатель средств из бюджета автономного округа, которому предоставлен Грант, не может получить государственную поддержку по иным мероприятиям Постановления в отношении расходов, понесенных в соответствии с планом расходов.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Грант предоставляется Получателю средств из бюджета автономного округа Департаментом за счет средств бюджета автономного округа 1 раз в размере, не превышающем 1500,0 тыс. рублей, но не более 70% затрат Получателя средств из бюджета автономного округа на реализацию проекта.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Расходы, указанные в плане расходов, не могут превышать установленный Порядком размер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Перечень затрат, финансовое обеспечение которых осуществляется за счет Гранта: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разработка проектной документации для строительства (реконструкции) производственных и складских зданий, помещений, предназначенных для приемки, хранения и переработки продукции дикоросов;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приобретение, строительство, ремонт и переустройство производственных и складских </w:t>
      </w:r>
      <w:r>
        <w:lastRenderedPageBreak/>
        <w:t>зданий, помещений (в том числе модульных), необходимых для приемки, хранения и переработки продукции дикоросов;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подключение производственных и складских зданий, помещений, сооружений, необходимых для приемки, хранения и переработки продукции дикоросов к инженерным сетям - электрическим, водо-, газо- и теплопроводным сетям;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приобретение оборудования, необходимого для приемки, хранения и переработки продукции дикоросов;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приобретение специализированной техники (транспорта), необходимой для транспортировки сырья и продукции переработки дикоросов, перечень которой утверждает приказом Департамент.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Департамент доводит Получателю средств из бюджета автономного округа значения показателей достижения результата предоставления Гранта, установленные Соглашением, предусматривающие обязательство Получателя средств из бюджета автономного округа обеспечить: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количество новых постоянных рабочих мест и принятых на них работников, зарегистрированных в Пенсионном фонде Российской Федерации, не менее 1 в течение 18 месяцев с момента подписания Соглашения.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Результатом предоставления Гранта является увеличение Получателем средств из бюджета автономного округа объемов заготовки (сбора) или реализации продукции дикоросов, в соответствии с основным видом деятельности Получателя средств из бюджета автономного округа, не менее чем на 0,5% по отношению к отчетному финансовому году (значения результативности использования Гранта в год его предоставления определяются в соответствии с проектом).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Использование Гранта и достижение значений результатов деятельности Получатель средств из бюджета автономного округа осуществляет в срок не более 18 месяцев со дня заключения Соглашения.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3.3.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округа, набравшим по результатам Конкурса наибольшее количество баллов.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 случае одинакового количества баллов у нескольких Получателей Грант в приоритетном порядке выплачивается Получателю средств из бюджета автономного округа, заявка которого зарегистрирована ранее по времени и дате.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Процедура возврата Гранта в случае выявления нарушения условий, установленных при его предоставлении, представления Получателем средств из бюджета автономного округа недостоверных сведений, ненадлежащего исполнения Соглашения, выявления факта недостижения показателей, установленных Соглашением, установлена </w:t>
      </w:r>
      <w:hyperlink w:anchor="Par136" w:tooltip="V. Требования об осуществлении контроля (мониторинга)" w:history="1">
        <w:r>
          <w:rPr>
            <w:color w:val="0000FF"/>
          </w:rPr>
          <w:t>разделом V</w:t>
        </w:r>
      </w:hyperlink>
      <w:r>
        <w:t xml:space="preserve"> Порядка.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11" w:name="Par112"/>
      <w:bookmarkEnd w:id="11"/>
      <w:r>
        <w:t>3.4.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Получатель средств из бюджета автономного округа в течение 5 рабочих дней с даты </w:t>
      </w:r>
      <w:r>
        <w:lastRenderedPageBreak/>
        <w:t>получения проекта Соглашения подписывает и представляет его в Департамент лично или почтовым отправлением. Получатель средств из бюджета автономного округа, не представивший в Департамент подписанный проект Соглашения в указанный срок (в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"Электронный бюджет" (далее - информационные системы, региональная система)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3.5. Основаниями для отказа в заключении Соглашения и предоставлении Гранта являются: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представление Соглашения с нарушением установленной формы или с нарушением срока его представления в Департамент, установленного </w:t>
      </w:r>
      <w:hyperlink w:anchor="Par112" w:tooltip="3.4.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" w:history="1">
        <w:r>
          <w:rPr>
            <w:color w:val="0000FF"/>
          </w:rPr>
          <w:t>пунктом 3.4</w:t>
        </w:r>
      </w:hyperlink>
      <w:r>
        <w:t xml:space="preserve"> Порядка;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отказ в подписании Соглашения;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добровольный письменный отказ Получателя средств из бюджета автономного округа от Гранта;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недостоверность информации, содержащейся в документах, представленных Получателем средств из бюджета автономного округа;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отсутствие лимитов бюджетных обязательств на предоставление субсидии;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непрохождение Конкурса.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3.6.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уведомление, подписанное директором Департамента (лицом, его замещающим), с указанием причин отказа.</w:t>
      </w:r>
    </w:p>
    <w:p w:rsidR="00944B61" w:rsidRDefault="00944B61">
      <w:pPr>
        <w:pStyle w:val="ConsPlusNormal"/>
        <w:spacing w:before="240"/>
        <w:ind w:firstLine="540"/>
        <w:jc w:val="both"/>
      </w:pPr>
      <w:bookmarkStart w:id="12" w:name="Par126"/>
      <w:bookmarkEnd w:id="12"/>
      <w:r>
        <w:lastRenderedPageBreak/>
        <w:t xml:space="preserve">3.7. Для перечисления Гранта Получатели средств из бюджета автономного округа представляют в Департамент документы, предусмотренные законодательством Российской Федерации о бухгалтерском учете, федеральными и (или) отраслевыми стандартами, а также документы, подтверждающие проведение обязательных процедур при приобретении товаров, работ услуг, осуществлении хозяйственной деятельности, предусмотренные ветеринарным законодательством,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документы). Исчерпывающий перечень и сроки представления документов устанавливается Соглашением.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Основаниями для отказа в перечислении Гранта являются: нарушение Получателем средств из бюджета автономного округа условий Соглашения, непредставление (представление не в полном объеме) документов, их представление с нарушением требований к оформлению, установленных законодательством Российской Федерации.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уведомление, подписанное уполномоченным должностным лицом, с указанием причин отказа и сроков их устранения.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3.8. Перечисление Гранта осуществляется в пределах бюджетных ассигнований, предусмотренных законом о бюджете автономного округа, на лицевой счет, открытый Получателю средств из бюджета в Департаменте финансов автономного округа, для учета операций со средствами получателей средств из бюджета не позднее 10-го рабочего дня представления получателем средств из бюджета автономного округа в Департамент документов, указанных в </w:t>
      </w:r>
      <w:hyperlink w:anchor="Par126" w:tooltip="3.7. Для перечисления Гранта Получатели средств из бюджета автономного округа представляют в Департамент документы, предусмотренные законодательством Российской Федерации о бухгалтерском учете, федеральными и (или) отраслевыми стандартами, а также документы, подтверждающие проведение обязательных процедур при приобретении товаров, работ услуг, осуществлении хозяйственной деятельности, предусмотренные ветеринарным законодательством, Бюджетным кодексом Российской Федерации, Гражданским кодексом Российской ..." w:history="1">
        <w:r>
          <w:rPr>
            <w:color w:val="0000FF"/>
          </w:rPr>
          <w:t>пункте 3.7</w:t>
        </w:r>
      </w:hyperlink>
      <w:r>
        <w:t>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3.9. Процедура возврата Гранта, в случае выявления нарушения условий, установленных при предоставлении Гранта, представления Получателем средств из бюджета автономного округа недостоверных сведений, ненадлежащего исполнения Соглашения, выявления факта недостижения показателей, установленных Соглашением, осуществляется в соответствии с </w:t>
      </w:r>
      <w:hyperlink w:anchor="Par136" w:tooltip="V. Требования об осуществлении контроля (мониторинга)" w:history="1">
        <w:r>
          <w:rPr>
            <w:color w:val="0000FF"/>
          </w:rPr>
          <w:t>разделом V</w:t>
        </w:r>
      </w:hyperlink>
      <w:r>
        <w:t xml:space="preserve"> Порядка.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Title"/>
        <w:jc w:val="center"/>
        <w:outlineLvl w:val="1"/>
      </w:pPr>
      <w:r>
        <w:t>IV. Требования к отчетности</w:t>
      </w:r>
    </w:p>
    <w:p w:rsidR="00944B61" w:rsidRDefault="00944B61">
      <w:pPr>
        <w:pStyle w:val="ConsPlusNormal"/>
        <w:jc w:val="center"/>
      </w:pPr>
    </w:p>
    <w:p w:rsidR="00944B61" w:rsidRDefault="00944B61">
      <w:pPr>
        <w:pStyle w:val="ConsPlusNormal"/>
        <w:ind w:firstLine="540"/>
        <w:jc w:val="both"/>
      </w:pPr>
      <w:r>
        <w:t>4.1. Получатель средств из бюджета автономного округа ежеквартально до 25 числа месяца, следующего за отчетным кварталом (в период действия Соглашения) представляет в Департамент отчеты о достижении результата предоставления Гранта и соответствующих показателей, предусмотренных Порядком, Соглашением, по форме, установленной в Соглашении.</w:t>
      </w:r>
    </w:p>
    <w:p w:rsidR="00944B61" w:rsidRDefault="00944B61">
      <w:pPr>
        <w:pStyle w:val="ConsPlusNormal"/>
        <w:ind w:firstLine="540"/>
        <w:jc w:val="both"/>
      </w:pPr>
    </w:p>
    <w:p w:rsidR="00944B61" w:rsidRDefault="00944B61">
      <w:pPr>
        <w:pStyle w:val="ConsPlusTitle"/>
        <w:jc w:val="center"/>
        <w:outlineLvl w:val="1"/>
      </w:pPr>
      <w:bookmarkStart w:id="13" w:name="Par136"/>
      <w:bookmarkEnd w:id="13"/>
      <w:r>
        <w:t>V. Требования об осуществлении контроля (мониторинга)</w:t>
      </w:r>
    </w:p>
    <w:p w:rsidR="00944B61" w:rsidRDefault="00944B61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944B61" w:rsidRDefault="00944B61">
      <w:pPr>
        <w:pStyle w:val="ConsPlusTitle"/>
        <w:jc w:val="center"/>
      </w:pPr>
      <w:r>
        <w:t>Гранта и ответственности за их нарушение</w:t>
      </w:r>
    </w:p>
    <w:p w:rsidR="00944B61" w:rsidRDefault="00944B61">
      <w:pPr>
        <w:pStyle w:val="ConsPlusNormal"/>
        <w:jc w:val="center"/>
      </w:pPr>
    </w:p>
    <w:p w:rsidR="00944B61" w:rsidRDefault="00944B61">
      <w:pPr>
        <w:pStyle w:val="ConsPlusNormal"/>
        <w:ind w:firstLine="540"/>
        <w:jc w:val="both"/>
      </w:pPr>
      <w:r>
        <w:t>5.1.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целей, условий и порядка предоставления Гранта.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 xml:space="preserve">5.2.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</w:t>
      </w:r>
      <w:r>
        <w:lastRenderedPageBreak/>
        <w:t>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5.3. В случае выявления нарушения условий, установленных при предоставлении Гранта, представления Получателем средств из бюджета автономного округа недостоверных сведений, ненадлежащего исполнения Соглашения, выявления факта недостижения показателей, установленных Соглашением: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Департамент в течение 5 рабочих дней с даты выявления нарушения (нарушений)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(далее - уведомление о возврате).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Получатель средств из бюджета автономного округа в течение 20 рабочих дней со дня получения уведомления о возврате обязан выполнить требования, указанные в нем.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При невозврате Гранта в указанный срок Департамент обращается в суд в соответствии с законодательством Российской Федерации.</w:t>
      </w:r>
    </w:p>
    <w:p w:rsidR="00944B61" w:rsidRDefault="00944B61">
      <w:pPr>
        <w:pStyle w:val="ConsPlusNormal"/>
        <w:spacing w:before="240"/>
        <w:ind w:firstLine="540"/>
        <w:jc w:val="both"/>
      </w:pPr>
      <w:r>
        <w:t>5.4. Ответственность за достоверность показателей, сведений в представленных документах несет Получатель средств из бюджета автономного округа.</w:t>
      </w:r>
    </w:p>
    <w:p w:rsidR="00944B61" w:rsidRDefault="00944B61">
      <w:pPr>
        <w:pStyle w:val="ConsPlusNormal"/>
      </w:pPr>
    </w:p>
    <w:sectPr w:rsidR="00944B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2A"/>
    <w:rsid w:val="002C032A"/>
    <w:rsid w:val="00944B61"/>
    <w:rsid w:val="00D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8C536D-9C98-4011-8A59-25FF8388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04.0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46801&amp;date=04.02.2022&amp;dst=102680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6962&amp;date=04.02.2022&amp;dst=31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46801&amp;date=04.02.2022&amp;dst=102560&amp;field=134" TargetMode="External"/><Relationship Id="rId10" Type="http://schemas.openxmlformats.org/officeDocument/2006/relationships/hyperlink" Target="https://login.consultant.ru/link/?req=doc&amp;base=LAW&amp;n=383542&amp;date=04.02.2022" TargetMode="External"/><Relationship Id="rId4" Type="http://schemas.openxmlformats.org/officeDocument/2006/relationships/hyperlink" Target="https://login.consultant.ru/link/?req=doc&amp;base=RLAW926&amp;n=242777&amp;date=04.02.2022&amp;dst=100716&amp;field=134" TargetMode="External"/><Relationship Id="rId9" Type="http://schemas.openxmlformats.org/officeDocument/2006/relationships/hyperlink" Target="https://login.consultant.ru/link/?req=doc&amp;base=LAW&amp;n=402655&amp;date=04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5338</Words>
  <Characters>30432</Characters>
  <Application>Microsoft Office Word</Application>
  <DocSecurity>2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30.12.2021 N 637-п"О мерах по реализации государственной программы Ханты-Мансийского автономного округа - Югры "Развитие агропромышленного комплекса"(вместе с "Порядком предоставления субсидии на развитие северно</vt:lpstr>
    </vt:vector>
  </TitlesOfParts>
  <Company>КонсультантПлюс Версия 4021.00.20</Company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30.12.2021 N 637-п"О мерах по реализации государственной программы Ханты-Мансийского автономного округа - Югры "Развитие агропромышленного комплекса"(вместе с "Порядком предоставления субсидии на развитие северно</dc:title>
  <dc:subject/>
  <dc:creator>Кротова Галина Гильмановна</dc:creator>
  <cp:keywords/>
  <dc:description/>
  <cp:lastModifiedBy>Меженская Ирина Николаевна</cp:lastModifiedBy>
  <cp:revision>2</cp:revision>
  <dcterms:created xsi:type="dcterms:W3CDTF">2022-10-26T07:37:00Z</dcterms:created>
  <dcterms:modified xsi:type="dcterms:W3CDTF">2022-10-26T07:37:00Z</dcterms:modified>
</cp:coreProperties>
</file>