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6E" w:rsidRPr="00CE403A" w:rsidRDefault="00164A67" w:rsidP="00164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A6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1808" w:rsidRPr="000F6ECC" w:rsidRDefault="002142EE" w:rsidP="00B033B2">
      <w:pPr>
        <w:spacing w:after="0" w:line="240" w:lineRule="auto"/>
        <w:ind w:left="103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E6544D" w:rsidRPr="000F6ECC">
        <w:rPr>
          <w:rFonts w:ascii="Times New Roman" w:hAnsi="Times New Roman"/>
          <w:sz w:val="18"/>
          <w:szCs w:val="18"/>
        </w:rPr>
        <w:t>риложение</w:t>
      </w:r>
      <w:r w:rsidR="00CE403A">
        <w:rPr>
          <w:rFonts w:ascii="Times New Roman" w:hAnsi="Times New Roman"/>
          <w:sz w:val="18"/>
          <w:szCs w:val="18"/>
        </w:rPr>
        <w:t xml:space="preserve"> №1</w:t>
      </w:r>
    </w:p>
    <w:p w:rsidR="00E6544D" w:rsidRPr="000F6ECC" w:rsidRDefault="007D3503" w:rsidP="00B033B2">
      <w:pPr>
        <w:spacing w:after="0" w:line="240" w:lineRule="auto"/>
        <w:ind w:left="10348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к</w:t>
      </w:r>
      <w:r w:rsidR="00E6544D" w:rsidRPr="000F6ECC">
        <w:rPr>
          <w:rFonts w:ascii="Times New Roman" w:hAnsi="Times New Roman"/>
          <w:sz w:val="18"/>
          <w:szCs w:val="18"/>
        </w:rPr>
        <w:t xml:space="preserve"> постановлению администрации города</w:t>
      </w:r>
    </w:p>
    <w:p w:rsidR="00E6544D" w:rsidRPr="000F6ECC" w:rsidRDefault="007D3503" w:rsidP="00B033B2">
      <w:pPr>
        <w:spacing w:after="0" w:line="240" w:lineRule="auto"/>
        <w:ind w:left="10348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о</w:t>
      </w:r>
      <w:r w:rsidR="00A3588C" w:rsidRPr="000F6ECC">
        <w:rPr>
          <w:rFonts w:ascii="Times New Roman" w:hAnsi="Times New Roman"/>
          <w:sz w:val="18"/>
          <w:szCs w:val="18"/>
        </w:rPr>
        <w:t xml:space="preserve">т </w:t>
      </w:r>
      <w:r w:rsidR="001B3E7B">
        <w:rPr>
          <w:rFonts w:ascii="Times New Roman" w:hAnsi="Times New Roman"/>
          <w:sz w:val="18"/>
          <w:szCs w:val="18"/>
        </w:rPr>
        <w:t>30.01.</w:t>
      </w:r>
      <w:r w:rsidR="00A3588C" w:rsidRPr="000F6ECC">
        <w:rPr>
          <w:rFonts w:ascii="Times New Roman" w:hAnsi="Times New Roman"/>
          <w:sz w:val="18"/>
          <w:szCs w:val="18"/>
        </w:rPr>
        <w:t>2023</w:t>
      </w:r>
      <w:r w:rsidR="00E6544D" w:rsidRPr="000F6ECC">
        <w:rPr>
          <w:rFonts w:ascii="Times New Roman" w:hAnsi="Times New Roman"/>
          <w:sz w:val="18"/>
          <w:szCs w:val="18"/>
        </w:rPr>
        <w:t xml:space="preserve"> №</w:t>
      </w:r>
      <w:r w:rsidR="001B3E7B">
        <w:rPr>
          <w:rFonts w:ascii="Times New Roman" w:hAnsi="Times New Roman"/>
          <w:sz w:val="18"/>
          <w:szCs w:val="18"/>
        </w:rPr>
        <w:t xml:space="preserve"> 169</w:t>
      </w:r>
      <w:bookmarkStart w:id="0" w:name="_GoBack"/>
      <w:bookmarkEnd w:id="0"/>
    </w:p>
    <w:p w:rsidR="003E35C2" w:rsidRPr="000F6ECC" w:rsidRDefault="003E35C2" w:rsidP="00B033B2">
      <w:pPr>
        <w:spacing w:after="0" w:line="240" w:lineRule="auto"/>
        <w:ind w:left="10348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 xml:space="preserve">«Приложение </w:t>
      </w:r>
    </w:p>
    <w:p w:rsidR="003E35C2" w:rsidRPr="000F6ECC" w:rsidRDefault="003E35C2" w:rsidP="00B033B2">
      <w:pPr>
        <w:spacing w:after="0" w:line="240" w:lineRule="auto"/>
        <w:ind w:firstLine="10348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3E35C2" w:rsidRPr="000F6ECC" w:rsidRDefault="003E35C2" w:rsidP="00B033B2">
      <w:pPr>
        <w:spacing w:after="0" w:line="240" w:lineRule="auto"/>
        <w:ind w:firstLine="10348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города Мегиона от 19.12.2018 №2749</w:t>
      </w:r>
    </w:p>
    <w:p w:rsidR="00E6544D" w:rsidRPr="000F6ECC" w:rsidRDefault="00E6544D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Паспорт</w:t>
      </w:r>
    </w:p>
    <w:p w:rsidR="003E35C2" w:rsidRPr="000F6ECC" w:rsidRDefault="003E35C2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 xml:space="preserve">муниципальной программы </w:t>
      </w:r>
    </w:p>
    <w:p w:rsidR="003E35C2" w:rsidRPr="000F6ECC" w:rsidRDefault="003E35C2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«Культурное пространство в городе Мегионе на 2019-2025 годы»</w:t>
      </w:r>
    </w:p>
    <w:p w:rsidR="003E35C2" w:rsidRPr="000F6ECC" w:rsidRDefault="003E35C2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48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539"/>
        <w:gridCol w:w="2255"/>
        <w:gridCol w:w="1138"/>
        <w:gridCol w:w="262"/>
        <w:gridCol w:w="195"/>
        <w:gridCol w:w="230"/>
        <w:gridCol w:w="755"/>
        <w:gridCol w:w="295"/>
        <w:gridCol w:w="410"/>
        <w:gridCol w:w="669"/>
        <w:gridCol w:w="112"/>
        <w:gridCol w:w="646"/>
        <w:gridCol w:w="100"/>
        <w:gridCol w:w="572"/>
        <w:gridCol w:w="669"/>
        <w:gridCol w:w="507"/>
        <w:gridCol w:w="1064"/>
        <w:gridCol w:w="1209"/>
        <w:gridCol w:w="1271"/>
      </w:tblGrid>
      <w:tr w:rsidR="00A92A3A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5C2" w:rsidRPr="000F6ECC" w:rsidRDefault="003E35C2" w:rsidP="00B033B2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«Культурное пространство в городе Мегионе на 2019-2025 годы»</w:t>
            </w:r>
          </w:p>
        </w:tc>
        <w:tc>
          <w:tcPr>
            <w:tcW w:w="11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0F6ECC" w:rsidRDefault="003E35C2" w:rsidP="00B033B2">
            <w:pPr>
              <w:spacing w:after="0" w:line="240" w:lineRule="auto"/>
              <w:ind w:firstLine="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1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0F6ECC" w:rsidRDefault="003E35C2" w:rsidP="00B033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2019 – 2025 годы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Куратор муниципальной программы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Заместитель главы города Мегиона по социальной политике 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6C463E" w:rsidP="00B033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 xml:space="preserve"> культуры администрации города Мегиона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дополнительного образования «Детская школа искусств им.  А.М.Кузьмина».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«Централизованная библиотечная система».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«Дворец искусств».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«Театр музыки».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«Региональный историко-культурный и экологический центр».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Муниципальное казенное учреждение «Управление капитального строительства и жилищно-коммунального комплекса».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Администрация города Мегиона.</w:t>
            </w:r>
          </w:p>
          <w:p w:rsidR="003E35C2" w:rsidRPr="000F6ECC" w:rsidRDefault="004323C6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Управление экономической политики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Национальная цель 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F6EC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Цели муниципальной программы 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F6EC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0F6ECC" w:rsidTr="0090300A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3E35C2" w:rsidRPr="000F6ECC" w:rsidTr="0090300A">
        <w:trPr>
          <w:trHeight w:val="100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0F6ECC" w:rsidRDefault="003E35C2" w:rsidP="00B033B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3E35C2" w:rsidRPr="000F6ECC" w:rsidRDefault="003E35C2" w:rsidP="00B033B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3E35C2" w:rsidRPr="000F6ECC" w:rsidRDefault="003E35C2" w:rsidP="00B033B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A92A3A" w:rsidRPr="000F6ECC" w:rsidTr="00966B1F">
        <w:trPr>
          <w:trHeight w:val="595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04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A92A3A" w:rsidRPr="000F6ECC" w:rsidTr="00966B1F">
        <w:trPr>
          <w:trHeight w:val="138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2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</w:p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момент окончания реализации муниципальной программы</w:t>
            </w:r>
          </w:p>
        </w:tc>
        <w:tc>
          <w:tcPr>
            <w:tcW w:w="8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Ответственный  исполнитель/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Число посещений культурных мероприятий (тыс.ед.)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507,0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2260,5</w:t>
            </w:r>
          </w:p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>культуры/подведомственные ему учреждения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23BF8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 экономической политики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 xml:space="preserve"> культуры/подведомственные ему учреждения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МАУ «Региональный историко-культурный и экологический центр»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Количество представленных (во всех формах) зрителю </w:t>
            </w:r>
            <w:r w:rsidRPr="000F6ECC">
              <w:rPr>
                <w:rFonts w:ascii="Times New Roman" w:hAnsi="Times New Roman"/>
                <w:sz w:val="18"/>
                <w:szCs w:val="18"/>
              </w:rPr>
              <w:lastRenderedPageBreak/>
              <w:t>музейных предметов основного фонда (ед.)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lastRenderedPageBreak/>
              <w:t>13600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15600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10101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11881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13069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14375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МАУ «Региональный историко-культурный и экологический центр»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Количество учреждений культуры получивших современное оборудование (ед.)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 xml:space="preserve"> культуры/подведомственные ему учреждения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3E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культуры/подведомственные ему учреждения</w:t>
            </w: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66B2B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266B2B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266B2B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МБУ «ЦБС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A3A" w:rsidRPr="000F6ECC" w:rsidTr="00966B1F">
        <w:trPr>
          <w:trHeight w:val="110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0D27B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0D27BD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0D27B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0D27B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  <w:r w:rsidR="000D27BD" w:rsidRPr="000F6EC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>культуры/подведомственные ему учреждения</w:t>
            </w:r>
          </w:p>
        </w:tc>
      </w:tr>
      <w:tr w:rsidR="00A92A3A" w:rsidRPr="000F6ECC" w:rsidTr="000F6ECC">
        <w:trPr>
          <w:trHeight w:val="1843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(%)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6C463E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3E35C2" w:rsidRPr="000F6ECC">
              <w:rPr>
                <w:rFonts w:ascii="Times New Roman" w:hAnsi="Times New Roman"/>
                <w:sz w:val="18"/>
                <w:szCs w:val="18"/>
              </w:rPr>
              <w:t xml:space="preserve"> культуры/подведомственные ему учреждения</w:t>
            </w:r>
          </w:p>
        </w:tc>
      </w:tr>
      <w:tr w:rsidR="004F76B8" w:rsidRPr="000F6ECC" w:rsidTr="0077194C">
        <w:trPr>
          <w:trHeight w:val="880"/>
        </w:trPr>
        <w:tc>
          <w:tcPr>
            <w:tcW w:w="6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135B4B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учреждений воспользовавшихся налоговой льготой</w:t>
            </w:r>
            <w:r w:rsidR="004F76B8" w:rsidRPr="000F6ECC">
              <w:rPr>
                <w:rFonts w:ascii="Times New Roman" w:hAnsi="Times New Roman"/>
                <w:sz w:val="18"/>
                <w:szCs w:val="18"/>
              </w:rPr>
              <w:t xml:space="preserve"> (ед)</w:t>
            </w:r>
          </w:p>
          <w:p w:rsidR="004F76B8" w:rsidRPr="000F6ECC" w:rsidRDefault="004F76B8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B46D99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B46D99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B46D99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B46D99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0F6ECC" w:rsidRDefault="004F76B8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Управление культуры/подведомственные ему учреждения</w:t>
            </w:r>
          </w:p>
        </w:tc>
      </w:tr>
      <w:tr w:rsidR="00A92A3A" w:rsidRPr="000F6ECC" w:rsidTr="0090300A">
        <w:trPr>
          <w:trHeight w:val="198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  <w:p w:rsidR="003E35C2" w:rsidRPr="000F6ECC" w:rsidRDefault="003E35C2" w:rsidP="00B033B2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3427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Расходы по годам (тыс.руб.)</w:t>
            </w:r>
          </w:p>
        </w:tc>
      </w:tr>
      <w:tr w:rsidR="004F76B8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F84029" w:rsidRPr="000F6ECC" w:rsidTr="00BC1BC9">
        <w:trPr>
          <w:trHeight w:val="126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2A6218" w:rsidP="00F84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3 318 082,9</w:t>
            </w:r>
            <w:r w:rsidR="00F84029" w:rsidRPr="00F840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435 505,50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426 715,60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457 407,60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518 645,60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510 473,46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488 923,74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480 411,44</w:t>
            </w:r>
          </w:p>
        </w:tc>
      </w:tr>
      <w:tr w:rsidR="00F84029" w:rsidRPr="000F6ECC" w:rsidTr="00BC1BC9">
        <w:trPr>
          <w:trHeight w:val="303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23 763,00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5 450,30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5 480,00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5 218,60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6 801,10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348,10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F84029" w:rsidRPr="000F6ECC" w:rsidTr="00BC1BC9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31 464,00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9 266,80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5 120,90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2 894,60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1 681,10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10 924,90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754,7</w:t>
            </w:r>
          </w:p>
        </w:tc>
      </w:tr>
      <w:tr w:rsidR="00F84029" w:rsidRPr="000F6ECC" w:rsidTr="00BC1BC9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2A6218" w:rsidP="00F84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3 262 856,9</w:t>
            </w:r>
            <w:r w:rsidR="00F84029" w:rsidRPr="00F840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420 788,40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416 114,70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454 321,50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511 745,90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492 747,46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487 754,64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479 383,34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Иные источники финансирования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92A3A" w:rsidRPr="000F6ECC" w:rsidTr="0090300A">
        <w:trPr>
          <w:trHeight w:val="197"/>
        </w:trPr>
        <w:tc>
          <w:tcPr>
            <w:tcW w:w="62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</w:p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3427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F84029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Расходы по годам (тыс.руб.)</w:t>
            </w:r>
          </w:p>
        </w:tc>
      </w:tr>
      <w:tr w:rsidR="004F76B8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A92A3A" w:rsidRPr="000F6ECC" w:rsidTr="0090300A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0F6ECC" w:rsidRDefault="003E35C2" w:rsidP="00B033B2">
            <w:pPr>
              <w:spacing w:after="0" w:line="240" w:lineRule="auto"/>
              <w:ind w:hanging="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Портфель проектов «Культура»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40 877,60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14 220,00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16 657,6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21 874,40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5 434,90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6 439,5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18 572,70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8 500,70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10 072,0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430,50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284,4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146,1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4029" w:rsidRPr="000F6ECC" w:rsidTr="004F76B8">
        <w:trPr>
          <w:trHeight w:val="197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0F6ECC" w:rsidRDefault="00F84029" w:rsidP="00F8402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Иные источники финансирования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35B4B" w:rsidRPr="000F6ECC" w:rsidTr="0077194C">
        <w:trPr>
          <w:trHeight w:val="197"/>
        </w:trPr>
        <w:tc>
          <w:tcPr>
            <w:tcW w:w="15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F6EC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Объем налоговых расходов городского округа</w:t>
            </w:r>
          </w:p>
          <w:p w:rsidR="00135B4B" w:rsidRPr="000F6ECC" w:rsidRDefault="00135B4B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7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135B4B" w:rsidRPr="000F6ECC" w:rsidTr="0077194C">
        <w:trPr>
          <w:trHeight w:val="197"/>
        </w:trPr>
        <w:tc>
          <w:tcPr>
            <w:tcW w:w="15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135B4B" w:rsidRPr="000F6ECC" w:rsidTr="0077194C">
        <w:trPr>
          <w:trHeight w:val="197"/>
        </w:trPr>
        <w:tc>
          <w:tcPr>
            <w:tcW w:w="15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3207,0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1069,0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1069,0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0F6ECC" w:rsidRDefault="00135B4B" w:rsidP="00B03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1069,0</w:t>
            </w:r>
          </w:p>
        </w:tc>
      </w:tr>
    </w:tbl>
    <w:p w:rsidR="0090300A" w:rsidRDefault="0090300A" w:rsidP="00B033B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F6ECC" w:rsidRDefault="000F6ECC" w:rsidP="00B033B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F6ECC" w:rsidRDefault="000F6ECC" w:rsidP="00B033B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F6ECC" w:rsidRPr="000F6ECC" w:rsidRDefault="000F6ECC" w:rsidP="00B033B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0300A" w:rsidRPr="000F6ECC" w:rsidRDefault="0090300A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B1601" w:rsidRPr="000F6ECC" w:rsidRDefault="00AB1601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Таблица 1</w:t>
      </w:r>
    </w:p>
    <w:p w:rsidR="00AB1601" w:rsidRPr="000F6ECC" w:rsidRDefault="00AB1601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B1601" w:rsidRPr="000F6ECC" w:rsidRDefault="00AB1601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Распределение финансовых ресурсов муниципальной программы (по годам)</w:t>
      </w:r>
    </w:p>
    <w:p w:rsidR="00AB1601" w:rsidRPr="000F6ECC" w:rsidRDefault="00AB1601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B1601" w:rsidRPr="000F6ECC" w:rsidRDefault="00AB1601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972"/>
        <w:gridCol w:w="1731"/>
        <w:gridCol w:w="1499"/>
        <w:gridCol w:w="1624"/>
        <w:gridCol w:w="1026"/>
        <w:gridCol w:w="1026"/>
        <w:gridCol w:w="1026"/>
        <w:gridCol w:w="1194"/>
        <w:gridCol w:w="1165"/>
        <w:gridCol w:w="1165"/>
        <w:gridCol w:w="1171"/>
      </w:tblGrid>
      <w:tr w:rsidR="00F85066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№ осн. мер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Координатор/ исполнитель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Финансовые затраты на реализацию     (тыс. рублей)</w:t>
            </w:r>
          </w:p>
        </w:tc>
      </w:tr>
      <w:tr w:rsidR="00F85066" w:rsidRPr="000F6ECC" w:rsidTr="00BC6379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85066" w:rsidRPr="000F6ECC" w:rsidTr="00BC6379">
        <w:trPr>
          <w:trHeight w:val="38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F85066" w:rsidRPr="000F6ECC" w:rsidTr="00BC6379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85066" w:rsidRPr="000F6ECC" w:rsidTr="00B033B2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 (1,2,8,9)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МБУ «ЦБС»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7 792,86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1 066,50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962,70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1 737,10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1 365,7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911,76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893,5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855,6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431,50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87,3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87,3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  <w:lang w:val="en-US"/>
              </w:rPr>
              <w:t>83</w:t>
            </w:r>
            <w:r w:rsidRPr="000F6ECC">
              <w:rPr>
                <w:rFonts w:ascii="Times New Roman" w:hAnsi="Times New Roman"/>
                <w:sz w:val="18"/>
                <w:szCs w:val="18"/>
              </w:rPr>
              <w:t>,</w:t>
            </w:r>
            <w:r w:rsidRPr="000F6EC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4 358,50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466,10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393,30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1 470,70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517,7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502,2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</w:t>
            </w:r>
            <w:r w:rsidRPr="000F6ECC">
              <w:rPr>
                <w:rFonts w:ascii="Times New Roman" w:hAnsi="Times New Roman"/>
                <w:sz w:val="18"/>
                <w:szCs w:val="18"/>
                <w:lang w:val="en-US"/>
              </w:rPr>
              <w:t>2,9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3 002,86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569,40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205,50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763,0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306,76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269,2</w:t>
            </w:r>
          </w:p>
        </w:tc>
      </w:tr>
      <w:tr w:rsidR="00BC6379" w:rsidRPr="000F6ECC" w:rsidTr="00BC6379">
        <w:trPr>
          <w:trHeight w:val="7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музейного дела (1,2,5,6)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«Экоцентр»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3 529,20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1 885,00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417,30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1 077,00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3 132,00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1 705,00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397,20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BC6379" w:rsidRPr="000F6ECC" w:rsidTr="00BC6379">
        <w:trPr>
          <w:trHeight w:val="13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учреждений 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Учреждения культуры, учреждения дополнительного 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образования,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МКУ «Управление капитального  строительства и жилищно-коммунального комплекса», департамент землеустройства и градостроительства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26 698,80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6 674,20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4 678,20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6 262,60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7 333,8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1 289,20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519,20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25 409,60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6 374,20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4 208,20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5 743,40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7 333,8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BC6379" w:rsidRPr="000F6ECC" w:rsidTr="00BC6379">
        <w:trPr>
          <w:trHeight w:val="323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 дополнительного образования в сфере культуры(1)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4 208,30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3 208,30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4 208,30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3 208,30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45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"Культурная среда" 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40 877,60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14 220,00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16 657,6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21 874,40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5 434,90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6 439,5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18 572,70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8 500,70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10 072,0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430,50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44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1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83 106,76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21 960,70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12 525,90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11 625,30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15 276,5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19 369,3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1 193,5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1 155,6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22 305,90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5 097,1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6 526,8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87,3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83,5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27 352,40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2 568,30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2 389,90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1 532,6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10 589,7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502,2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502,9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33 448,46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7 243,60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4 957,60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9 174,50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8 646,8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2 252,8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604,0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569,2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5066" w:rsidRPr="000F6ECC" w:rsidTr="00F8506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66" w:rsidRPr="00F84029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одаренных детей и молодежи, развитие художественного образования 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522,60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522,60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привлеченные средства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профессионального искусства 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«Театр музыки»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5 019,64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1 684,20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1 110,10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641,58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610,10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464,94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1 457,10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130,60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121,50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274,30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260,80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2 679,00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504,70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335,20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318,80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251,80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883,54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84,20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474,80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23,24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Стимулирование культурного разнообразия в городском округе (1,8)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города,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учреждения культуры, учреждения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18 042,90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5 614,90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3 014,10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3 302,00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17 642,90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5 614,90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2 711,90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3 014,10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3 302,00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 (1,3,4,8)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340,00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340,00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Итого</w:t>
            </w:r>
            <w:r w:rsidRPr="000F6ECC">
              <w:rPr>
                <w:rFonts w:ascii="Times New Roman" w:hAnsi="Times New Roman"/>
                <w:sz w:val="18"/>
                <w:szCs w:val="18"/>
              </w:rPr>
              <w:br/>
              <w:t>по подпрограмме 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23 925,28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6 174,90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4 898,70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4 174,20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3 910,70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3 691,58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610,10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ED0">
              <w:rPr>
                <w:rFonts w:ascii="Times New Roman" w:hAnsi="Times New Roman"/>
                <w:sz w:val="18"/>
                <w:szCs w:val="18"/>
              </w:rPr>
              <w:t>464,90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1 457,10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480,00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130,60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121,50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274,30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260,8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189,9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бюджет 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3 079,00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1 520,00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504,70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335,20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318,8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19 389,18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6 174,90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2 898,70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3 538,90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3 640,70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3 082,08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5066" w:rsidRPr="000F6ECC" w:rsidTr="00F8506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4029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единой государственной политики в сфере культуры (1)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3 211 051,00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409 291,00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  <w:lang w:val="en-US"/>
              </w:rPr>
              <w:t>499 458,40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487 412,60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487 120,10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478 790,90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1 032,60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3 210 018,40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408 258,40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499 458,40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487 412,60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487 120,10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478 790,90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3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3 211 051,00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409 291,00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499 458,40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487 412,60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487 120,10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478 790,90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1 032,60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379" w:rsidRPr="000F6ECC" w:rsidTr="00BC6379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3 210 018,40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408 258,40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499 458,40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487 412,60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487 120,10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478 790,90</w:t>
            </w:r>
          </w:p>
        </w:tc>
      </w:tr>
      <w:tr w:rsidR="00BC6379" w:rsidRPr="000F6ECC" w:rsidTr="00BC6379">
        <w:trPr>
          <w:trHeight w:val="63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0F6ECC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79" w:rsidRPr="00F84029" w:rsidRDefault="00BC6379" w:rsidP="00BC63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F84029" w:rsidRDefault="00BC6379" w:rsidP="00BC637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79" w:rsidRPr="000F6ECC" w:rsidRDefault="00BC6379" w:rsidP="00BC6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79" w:rsidRPr="000F6ECC" w:rsidRDefault="00BC6379" w:rsidP="00BC6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4029" w:rsidRPr="000F6ECC" w:rsidTr="00BC6379">
        <w:trPr>
          <w:trHeight w:val="315"/>
        </w:trPr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  <w:r w:rsidRPr="00F840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муниципальной программе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F84029" w:rsidRDefault="002A6218" w:rsidP="00F84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3 318 083,9</w:t>
            </w:r>
            <w:r w:rsidR="00F84029" w:rsidRPr="00F840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435 505,50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426 715,60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518 645,60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510 473,46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488 923,74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841AC6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480 411,4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F84029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23 763,00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5 218,60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6 801,10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348,10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F84029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31 464,00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2 894,60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1 681,10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10 924,90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127171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754,7</w:t>
            </w:r>
          </w:p>
        </w:tc>
      </w:tr>
      <w:tr w:rsidR="00F84029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F84029" w:rsidRDefault="002A6218" w:rsidP="00F84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3 262 856,9</w:t>
            </w:r>
            <w:r w:rsidR="00F84029" w:rsidRPr="00F840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420 788,40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511 745,90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492 747,46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487 754,</w:t>
            </w: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479 383,34</w:t>
            </w:r>
          </w:p>
        </w:tc>
      </w:tr>
      <w:tr w:rsidR="00F84029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29" w:rsidRPr="00F84029" w:rsidRDefault="00F84029" w:rsidP="00F840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F84029" w:rsidRDefault="00F84029" w:rsidP="00F84029">
            <w:pPr>
              <w:rPr>
                <w:rFonts w:ascii="Times New Roman" w:hAnsi="Times New Roman"/>
                <w:sz w:val="18"/>
                <w:szCs w:val="18"/>
              </w:rPr>
            </w:pPr>
            <w:r w:rsidRPr="00F840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29" w:rsidRPr="000F6ECC" w:rsidRDefault="00F84029" w:rsidP="00F84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29" w:rsidRPr="000F6ECC" w:rsidRDefault="00F84029" w:rsidP="00F8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315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 xml:space="preserve">местный бюджет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0F6ECC" w:rsidTr="00BC6379">
        <w:trPr>
          <w:trHeight w:val="630"/>
        </w:trPr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0F6ECC" w:rsidRDefault="00F85066" w:rsidP="00B033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0F6ECC" w:rsidRDefault="00F85066" w:rsidP="00B033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6EC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</w:tbl>
    <w:p w:rsidR="00AB1601" w:rsidRPr="000F6ECC" w:rsidRDefault="00AB1601" w:rsidP="00B033B2">
      <w:pPr>
        <w:spacing w:after="160" w:line="259" w:lineRule="auto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160" w:line="259" w:lineRule="auto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br w:type="page"/>
      </w:r>
    </w:p>
    <w:p w:rsidR="003E35C2" w:rsidRPr="000F6ECC" w:rsidRDefault="003E35C2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lastRenderedPageBreak/>
        <w:t>Таблица 2</w:t>
      </w:r>
    </w:p>
    <w:p w:rsidR="003E35C2" w:rsidRPr="000F6ECC" w:rsidRDefault="003E35C2" w:rsidP="00B033B2">
      <w:pPr>
        <w:pStyle w:val="1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0F6ECC">
        <w:rPr>
          <w:rFonts w:ascii="Times New Roman" w:hAnsi="Times New Roman" w:cs="Times New Roman"/>
          <w:b w:val="0"/>
          <w:sz w:val="18"/>
          <w:szCs w:val="18"/>
        </w:rPr>
        <w:t>Перечень структурных элементов (основных мероприятий) муниципальной программы</w:t>
      </w:r>
    </w:p>
    <w:p w:rsidR="003E35C2" w:rsidRPr="000F6ECC" w:rsidRDefault="003E35C2" w:rsidP="00B033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266"/>
        <w:gridCol w:w="36"/>
        <w:gridCol w:w="6"/>
        <w:gridCol w:w="3404"/>
        <w:gridCol w:w="12"/>
        <w:gridCol w:w="3270"/>
        <w:gridCol w:w="3767"/>
      </w:tblGrid>
      <w:tr w:rsidR="003E35C2" w:rsidRPr="000F6ECC" w:rsidTr="00DD67E0">
        <w:tc>
          <w:tcPr>
            <w:tcW w:w="7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структурного </w:t>
            </w:r>
          </w:p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элемента (основного мероприятия)</w:t>
            </w:r>
          </w:p>
          <w:p w:rsidR="003E35C2" w:rsidRPr="000F6ECC" w:rsidRDefault="003E35C2" w:rsidP="00B033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структурного элемента (основного мероприятия)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целевого</w:t>
            </w:r>
          </w:p>
          <w:p w:rsidR="003E35C2" w:rsidRPr="000F6ECC" w:rsidRDefault="003E35C2" w:rsidP="00B0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показателя </w:t>
            </w:r>
          </w:p>
        </w:tc>
      </w:tr>
      <w:tr w:rsidR="003E35C2" w:rsidRPr="000F6ECC" w:rsidTr="00DD67E0">
        <w:tc>
          <w:tcPr>
            <w:tcW w:w="7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Pr="000F6ECC">
              <w:rPr>
                <w:rFonts w:ascii="Times New Roman" w:hAnsi="Times New Roman" w:cs="Times New Roman"/>
                <w:sz w:val="18"/>
                <w:szCs w:val="18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1B3E7B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sub_201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Подпрограмма I.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3E35C2" w:rsidRPr="000F6ECC" w:rsidTr="000F6ECC">
        <w:trPr>
          <w:trHeight w:val="1418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деятельности и отдельных направлений библиотечного обслуживания населения общедоступными библиотеками, включая: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информационных ресурсов и услуг;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доступа к Интернету и сетевым ресурсам;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автоматизацию деятельности и обновление оборудования;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модернизацию детских, юношеских библиотек;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детских зон обслуживания;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оцифровку фондов; 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внестационарного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1B3E7B" w:rsidP="00B033B2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Федеральный 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от 29.12.1994 №78-ФЗ «О библиотечном деле»;</w:t>
            </w:r>
          </w:p>
          <w:p w:rsidR="003E35C2" w:rsidRPr="000F6ECC" w:rsidRDefault="001B3E7B" w:rsidP="00B033B2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</w:r>
          </w:p>
          <w:p w:rsidR="003E35C2" w:rsidRPr="000F6ECC" w:rsidRDefault="001B3E7B" w:rsidP="00B033B2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Постановление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19.01.2018           №11-п «О Концепции поддержки и развития чтения в Хант</w:t>
            </w:r>
            <w:r w:rsidR="00966B1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ы-Мансийском автономном округе -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Югре на 2018-2025 годы»;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0F6ECC" w:rsidRDefault="003E35C2" w:rsidP="0059759A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деятельности органов исполнительно</w:t>
            </w:r>
            <w:r w:rsidR="0095434F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Показатель 1 (далее п.1):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бухгалтерии, данными общедоступных интернет-сервисов.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 и подготовка передвижных выставок;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интеграция деятельности музеев путем осуществления межмузейных выставочных и культурно-образовательных проектов;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поддержка, развитие и популяризация краеведческих проектов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1B3E7B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3E35C2" w:rsidRPr="000F6ECC" w:rsidRDefault="003E35C2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0F6ECC" w:rsidRDefault="003E35C2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0F6ECC" w:rsidRDefault="003E35C2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35C2" w:rsidRPr="000F6ECC" w:rsidRDefault="003E35C2" w:rsidP="00B033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35C2" w:rsidRPr="000F6ECC" w:rsidRDefault="003E35C2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4 (далее п.4)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Расчет значения показателя определяется по формуле: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= Дс x 100 / Дм, где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3E35C2" w:rsidRPr="000F6ECC" w:rsidRDefault="003E35C2" w:rsidP="00B033B2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Дс - число музейных предметов, представленных в сети Интернет;</w:t>
            </w:r>
          </w:p>
          <w:p w:rsidR="003E35C2" w:rsidRPr="000F6ECC" w:rsidRDefault="003E35C2" w:rsidP="00B033B2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Дм - число музейных предметов (всего).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формируется исходя из полученных сведений: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статистической отчетности с учетом негосударственных организаций </w:t>
            </w:r>
            <w:hyperlink r:id="rId12" w:history="1">
              <w:r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8-НК</w:t>
              </w:r>
            </w:hyperlink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утвержден </w:t>
            </w:r>
            <w:hyperlink r:id="rId13" w:history="1">
              <w:r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приказом</w:t>
              </w:r>
            </w:hyperlink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Росстата от 05.10.2020  №616).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Показатель 5 (далее п. 5) 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формируется исходя из полученных сведений: 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форма статистической отчетности с учетом негосударственных организаций </w:t>
            </w:r>
            <w:hyperlink r:id="rId14" w:history="1">
              <w:r w:rsidRPr="000F6ECC">
                <w:rPr>
                  <w:rStyle w:val="af6"/>
                  <w:rFonts w:ascii="Times New Roman" w:hAnsi="Times New Roman"/>
                  <w:color w:val="000000"/>
                  <w:sz w:val="18"/>
                  <w:szCs w:val="18"/>
                </w:rPr>
                <w:t>8-НК</w:t>
              </w:r>
            </w:hyperlink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утвержден </w:t>
            </w:r>
            <w:hyperlink r:id="rId15" w:history="1">
              <w:r w:rsidRPr="000F6ECC">
                <w:rPr>
                  <w:rStyle w:val="af6"/>
                  <w:rFonts w:ascii="Times New Roman" w:hAnsi="Times New Roman"/>
                  <w:color w:val="000000"/>
                  <w:sz w:val="18"/>
                  <w:szCs w:val="18"/>
                </w:rPr>
                <w:t>приказом</w:t>
              </w:r>
            </w:hyperlink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Росстата от 05.10.2020 №616). </w:t>
            </w:r>
          </w:p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устранение предписаний ОГПН;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обновление материально технической базы муниципальных учреждений культуры и искусства;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</w:t>
            </w:r>
            <w:r w:rsidR="002872E3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муниципальных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 культуры и искусства к осенне-зимнему периоду;</w:t>
            </w:r>
          </w:p>
          <w:p w:rsidR="003E35C2" w:rsidRPr="000F6ECC" w:rsidRDefault="003E35C2" w:rsidP="00B033B2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процессе эксплуатации;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0F6ECC" w:rsidRDefault="001B3E7B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6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Указ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0F6ECC" w:rsidRDefault="003E35C2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</w:t>
            </w:r>
            <w:r w:rsidR="0095434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0F6ECC" w:rsidRDefault="0095434F" w:rsidP="0059759A">
            <w:pPr>
              <w:spacing w:line="240" w:lineRule="auto"/>
              <w:ind w:firstLine="47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Распоряжение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лиц субъектов Российской Федерации и деятельности органов исполнительно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6 (далее п.6.) Количество учреждений культуры, получивших современное оборудование.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формируется исходя из ежемесячного мониторинга. </w:t>
            </w: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 дополнительного образования в сфере культуры</w:t>
            </w:r>
          </w:p>
          <w:p w:rsidR="003E35C2" w:rsidRPr="000F6ECC" w:rsidRDefault="003E35C2" w:rsidP="00B033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35C2" w:rsidRPr="000F6ECC" w:rsidRDefault="003E35C2" w:rsidP="00B033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35C2" w:rsidRPr="000F6ECC" w:rsidRDefault="003E35C2" w:rsidP="00B033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и:</w:t>
            </w: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Антитеррористическая защищенность объектов (территорий)</w:t>
            </w: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Пожарная безопасность;</w:t>
            </w: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Предписания надзорных органов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0F6ECC" w:rsidRDefault="003E35C2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0F6ECC" w:rsidRDefault="003E35C2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</w:t>
            </w:r>
            <w:r w:rsidR="0095434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0F6ECC" w:rsidRDefault="003E35C2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 - отчетный период.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п.6 Количество учреждений культуры, получивших современное оборудование.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формируется исходя из ежемесячного мониторинга. </w:t>
            </w:r>
          </w:p>
          <w:p w:rsidR="003E35C2" w:rsidRPr="000F6ECC" w:rsidRDefault="003E35C2" w:rsidP="00B033B2">
            <w:pPr>
              <w:pStyle w:val="af5"/>
              <w:ind w:firstLine="4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10 (далее п.10) Доля обеспечения комплексной безопасности учреждений культуры и дополнительного образования в сфере культуры.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рассчитывается: отношение количества учреждений не обеспеченных комплексной безопасности к общему количеству учреждений культуры города. </w:t>
            </w: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Style w:val="af1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«Региональный проект «Культурная среда»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Переоснащение муниципальных библиотек по модельному стандарту.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(реконструкция) и капитальный ремонт объектов организаций культуры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0F6ECC" w:rsidRDefault="001B3E7B" w:rsidP="00B033B2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7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Указ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0F6ECC" w:rsidRDefault="003E35C2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</w:t>
            </w:r>
            <w:r w:rsidR="0095434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0F6ECC" w:rsidRDefault="0095434F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Распоряжение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Федерации» в Ханты-Мансийском автономном округе – Югре».</w:t>
            </w:r>
          </w:p>
          <w:p w:rsidR="003E35C2" w:rsidRPr="000F6ECC" w:rsidRDefault="003E35C2" w:rsidP="00B033B2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п.6.: Количество учреждений культуры, получивших современное оборудование.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формируется исходя из ежемесячного мониторинга.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Источником информации является данные паспорта регионального проекта «Культурная среда».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п.9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Источником информации является данные паспорта регионального проекта «Творческие люди». 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Цель: </w:t>
            </w:r>
            <w:r w:rsidRPr="000F6ECC">
              <w:rPr>
                <w:rFonts w:ascii="Times New Roman" w:hAnsi="Times New Roman" w:cs="Times New Roman"/>
                <w:sz w:val="18"/>
                <w:szCs w:val="18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1B3E7B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sub_202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Подпрограмма II.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3E35C2" w:rsidRPr="000F6ECC" w:rsidTr="00997ED7">
        <w:trPr>
          <w:trHeight w:val="69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в области культуры;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выставках;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1B3E7B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8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Федеральный 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            29.12.2012 №273-ФЗ «Об образовании в Российской Федерации»;</w:t>
            </w:r>
          </w:p>
          <w:p w:rsidR="003E35C2" w:rsidRPr="000F6ECC" w:rsidRDefault="001B3E7B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9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Распоряжение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Правительства Российской Федерации от                </w:t>
            </w:r>
            <w:r w:rsidR="00773D4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31.03.2022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773D4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 «Об утверждении Концепции развития дополнительного образования детей</w:t>
            </w:r>
            <w:r w:rsidR="00773D4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2030г. и плана мероприятий по ее реализации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»;</w:t>
            </w:r>
          </w:p>
          <w:p w:rsidR="003E35C2" w:rsidRPr="000F6ECC" w:rsidRDefault="001B3E7B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0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Постановление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Правительства Российской Федерации от                  17.11.2015 №1239 «Об утверждении Правил выявления детей, про</w:t>
            </w:r>
            <w:r w:rsidR="00B87F48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явивших выдающиеся </w:t>
            </w:r>
            <w:r w:rsidR="0095434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способности 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B87F48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сопровождения их 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дальнейшего </w:t>
            </w:r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развития».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Показатель 9 (далее п.9)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Источником информации является данные паспорта регионального проекта «Творческие люди». (9)</w:t>
            </w: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участие творческих коллективов в профессиональных конкурсах и фестивалях, в том числе в международных;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</w:t>
            </w:r>
            <w:r w:rsidR="0095434F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0F6ECC" w:rsidRDefault="003E35C2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="0095434F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аспоряжение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0F6ECC" w:rsidRDefault="003E35C2" w:rsidP="00B033B2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Стимулирование культурного разнообразия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культурно-массовых мероприятий в том числе: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художественных промыслов и ремесел;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 кинофильмов;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благоприятных условий для создания и обеспечения функционирования негосударственных организаций, в том числе 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(выплаты ветеранам);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творческих коллективов в профессиональных конкурсах и фестивалях, в том числе в международных.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1B3E7B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1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Федеральный 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D171E5" w:rsidRPr="000F6ECC" w:rsidRDefault="0095434F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Распоряжение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</w:t>
            </w:r>
            <w:r w:rsidR="00D171E5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йском автономном округе – Югре». </w:t>
            </w:r>
            <w:r w:rsidR="00D171E5" w:rsidRPr="000F6ECC">
              <w:rPr>
                <w:rFonts w:ascii="Times New Roman" w:hAnsi="Times New Roman"/>
                <w:sz w:val="18"/>
                <w:szCs w:val="18"/>
              </w:rPr>
              <w:t>Постановление администрации города Мегиона от 29.04.2021 №1023 «Об утверждении порядка выплаты дополнительной меры социальной поддержки для отдельных категорий граждан»</w:t>
            </w:r>
          </w:p>
          <w:p w:rsidR="003E35C2" w:rsidRPr="000F6ECC" w:rsidRDefault="003E35C2" w:rsidP="00B033B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35C2" w:rsidRPr="000F6ECC" w:rsidRDefault="003E35C2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0F6ECC" w:rsidRDefault="003E35C2" w:rsidP="00B033B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п.7 Количество мероприятий (проектов программ), реализованных учреждениями культуры и искусства в т. 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0F6ECC" w:rsidRDefault="003E35C2" w:rsidP="00B033B2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адаптации мигрантов и профилактике экстремизма и 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Российской Федерации о</w:t>
            </w:r>
            <w:hyperlink r:id="rId22" w:history="1">
              <w:r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т 27.10.2016 №1096 </w:t>
              </w:r>
            </w:hyperlink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3E35C2" w:rsidRPr="000F6ECC" w:rsidRDefault="001B3E7B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3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Федеральный закон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3E35C2" w:rsidRPr="000F6ECC" w:rsidRDefault="003E35C2" w:rsidP="00B0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hyperlink r:id="rId24" w:history="1">
              <w:r w:rsidRPr="000F6ECC">
                <w:rPr>
                  <w:rStyle w:val="af6"/>
                  <w:rFonts w:ascii="Times New Roman" w:hAnsi="Times New Roman"/>
                  <w:color w:val="000000"/>
                  <w:sz w:val="18"/>
                  <w:szCs w:val="18"/>
                </w:rPr>
                <w:t>остановление</w:t>
              </w:r>
            </w:hyperlink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30.12.2021  №640-п «О мерах по реализации государственной программы Ханты-Мансийского автономного округа - Югры «Культурное пространство»;</w:t>
            </w:r>
          </w:p>
          <w:p w:rsidR="003E35C2" w:rsidRPr="000F6ECC" w:rsidRDefault="0095434F" w:rsidP="00B033B2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Распоряжение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="003E35C2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0F6ECC" w:rsidRDefault="003E35C2" w:rsidP="00B033B2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35C2" w:rsidRPr="000F6ECC" w:rsidRDefault="003E35C2" w:rsidP="00B033B2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0F6ECC" w:rsidRDefault="003E35C2" w:rsidP="00B033B2">
            <w:pPr>
              <w:ind w:firstLine="582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Показатель2 (далее п.2.)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 и искусств до 3 организаций. Показатель формируется </w:t>
            </w:r>
            <w:r w:rsidRPr="000F6ECC">
              <w:rPr>
                <w:rFonts w:ascii="Times New Roman" w:hAnsi="Times New Roman"/>
                <w:sz w:val="18"/>
                <w:szCs w:val="18"/>
              </w:rPr>
              <w:lastRenderedPageBreak/>
              <w:t>исходя из 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3E35C2" w:rsidRPr="000F6ECC" w:rsidRDefault="003E35C2" w:rsidP="00B033B2">
            <w:pPr>
              <w:ind w:firstLine="4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всех форм собственности</w:t>
            </w:r>
          </w:p>
          <w:p w:rsidR="003E35C2" w:rsidRPr="000F6ECC" w:rsidRDefault="003E35C2" w:rsidP="00B033B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п.7 Количество мероприятий (проектов программ), реализованных учреждениями культуры и искусства в т.ч.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</w:t>
            </w: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проводимых мероприятий на конец реализации муниципальной программы до 3-х в год. 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3E35C2" w:rsidRPr="000F6ECC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0F6ECC" w:rsidRDefault="001B3E7B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sub_203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Подпрограмма III.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3E35C2" w:rsidRPr="000F6ECC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единой государственной политики в сфере культуры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 направлениями мероприятия являются:</w:t>
            </w:r>
          </w:p>
          <w:p w:rsidR="003E35C2" w:rsidRPr="000F6ECC" w:rsidRDefault="003E35C2" w:rsidP="00B033B2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0F6ECC" w:rsidRDefault="001B3E7B" w:rsidP="00B033B2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5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Бюджетный кодекс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Российской Федерации;</w:t>
            </w:r>
          </w:p>
          <w:p w:rsidR="003E35C2" w:rsidRPr="000F6ECC" w:rsidRDefault="003E35C2" w:rsidP="00B033B2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закон                  </w:t>
            </w:r>
            <w:hyperlink r:id="rId26" w:history="1">
              <w:r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от 05.04.2013 №44-ФЗ</w:t>
              </w:r>
            </w:hyperlink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E35C2" w:rsidRPr="000F6ECC" w:rsidRDefault="001B3E7B" w:rsidP="00B033B2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7" w:history="1">
              <w:r w:rsidR="003E35C2" w:rsidRPr="000F6ECC">
                <w:rPr>
                  <w:rStyle w:val="af6"/>
                  <w:rFonts w:ascii="Times New Roman" w:hAnsi="Times New Roman" w:cs="Times New Roman"/>
                  <w:color w:val="000000"/>
                  <w:sz w:val="18"/>
                  <w:szCs w:val="18"/>
                </w:rPr>
                <w:t>Постановление</w:t>
              </w:r>
            </w:hyperlink>
            <w:r w:rsidR="003E35C2"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3E35C2" w:rsidRPr="000F6ECC" w:rsidRDefault="003E35C2" w:rsidP="0059759A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п.1: Число посещений культурных мероприятий (тыс.ед.).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рассчитывается по следующей формуле: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I(t) = A(t) + B(t)+ K(t), 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 w:rsidRPr="000F6EC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A(t) - число посещений библиотек;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0F6ECC" w:rsidRDefault="003E35C2" w:rsidP="00B033B2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color w:val="000000"/>
                <w:sz w:val="18"/>
                <w:szCs w:val="18"/>
              </w:rPr>
              <w:t>t - отчетный период.</w:t>
            </w:r>
          </w:p>
          <w:p w:rsidR="003E35C2" w:rsidRPr="000F6ECC" w:rsidRDefault="003E35C2" w:rsidP="00B033B2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</w:tc>
      </w:tr>
    </w:tbl>
    <w:p w:rsidR="003E35C2" w:rsidRPr="000F6ECC" w:rsidRDefault="003E35C2" w:rsidP="00B033B2">
      <w:pPr>
        <w:spacing w:after="160" w:line="259" w:lineRule="auto"/>
        <w:jc w:val="right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br w:type="page"/>
      </w:r>
      <w:r w:rsidRPr="000F6ECC">
        <w:rPr>
          <w:rFonts w:ascii="Times New Roman" w:hAnsi="Times New Roman"/>
          <w:sz w:val="18"/>
          <w:szCs w:val="18"/>
        </w:rPr>
        <w:lastRenderedPageBreak/>
        <w:t>Таблица 3</w:t>
      </w:r>
    </w:p>
    <w:p w:rsidR="003E35C2" w:rsidRPr="000F6ECC" w:rsidRDefault="003E35C2" w:rsidP="00B033B2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0F6ECC">
        <w:rPr>
          <w:rFonts w:ascii="Times New Roman" w:hAnsi="Times New Roman"/>
          <w:sz w:val="18"/>
          <w:szCs w:val="18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E35C2" w:rsidRPr="000F6ECC" w:rsidRDefault="003E35C2" w:rsidP="00B033B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3E35C2" w:rsidRPr="000F6ECC" w:rsidTr="000F6ECC">
        <w:trPr>
          <w:trHeight w:val="1532"/>
        </w:trPr>
        <w:tc>
          <w:tcPr>
            <w:tcW w:w="446" w:type="dxa"/>
            <w:vMerge w:val="restart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E35C2" w:rsidRPr="000F6ECC" w:rsidTr="00DD67E0">
        <w:trPr>
          <w:trHeight w:val="421"/>
        </w:trPr>
        <w:tc>
          <w:tcPr>
            <w:tcW w:w="446" w:type="dxa"/>
            <w:vMerge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5C2" w:rsidRPr="000F6ECC" w:rsidTr="00DD67E0">
        <w:trPr>
          <w:trHeight w:val="316"/>
        </w:trPr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Число посещений культурных мероприятий (тыс.ед.)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507,0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2260,5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Оцифровка музейных предметов, представленных в сети Интернет, от общего числа музейных предметов основного фонда музея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13600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15600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10101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11881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13069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14375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66B2B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66B2B" w:rsidRDefault="00266B2B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66B2B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66B2B" w:rsidRDefault="00266B2B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266B2B" w:rsidRDefault="00266B2B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AE62C1" w:rsidRPr="000F6ECC" w:rsidTr="00DD67E0">
        <w:tc>
          <w:tcPr>
            <w:tcW w:w="446" w:type="dxa"/>
            <w:shd w:val="clear" w:color="auto" w:fill="auto"/>
          </w:tcPr>
          <w:p w:rsidR="00AE62C1" w:rsidRPr="000F6ECC" w:rsidRDefault="00AE62C1" w:rsidP="00B033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69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AE62C1" w:rsidRPr="000F6ECC" w:rsidRDefault="00AE62C1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</w:tr>
      <w:tr w:rsidR="003E35C2" w:rsidRPr="000F6ECC" w:rsidTr="00DD67E0">
        <w:tc>
          <w:tcPr>
            <w:tcW w:w="44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69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0F6ECC" w:rsidRDefault="003E35C2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(%)</w:t>
            </w:r>
          </w:p>
        </w:tc>
        <w:tc>
          <w:tcPr>
            <w:tcW w:w="1496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E35C2" w:rsidRPr="000F6ECC" w:rsidRDefault="003E35C2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90E8D" w:rsidRPr="000F6ECC" w:rsidTr="0077194C">
        <w:tc>
          <w:tcPr>
            <w:tcW w:w="446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69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Количество учреждений воспользовавшихся налоговой льготой (ед)</w:t>
            </w:r>
          </w:p>
          <w:p w:rsidR="00590E8D" w:rsidRPr="000F6ECC" w:rsidRDefault="00590E8D" w:rsidP="00B033B2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14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590E8D" w:rsidRPr="000F6ECC" w:rsidRDefault="00590E8D" w:rsidP="00B033B2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E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3E35C2" w:rsidRPr="000F6ECC" w:rsidRDefault="003E35C2" w:rsidP="00B033B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E35C2" w:rsidRPr="000F6ECC" w:rsidRDefault="003E35C2" w:rsidP="00B033B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D67E0" w:rsidRPr="000F6ECC" w:rsidRDefault="00DD67E0" w:rsidP="00B033B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D67E0" w:rsidRPr="000F6ECC" w:rsidSect="00FB5D1B">
      <w:headerReference w:type="default" r:id="rId28"/>
      <w:pgSz w:w="16838" w:h="11906" w:orient="landscape"/>
      <w:pgMar w:top="1276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87" w:rsidRDefault="00BA1A87" w:rsidP="002A1788">
      <w:pPr>
        <w:spacing w:after="0" w:line="240" w:lineRule="auto"/>
      </w:pPr>
      <w:r>
        <w:separator/>
      </w:r>
    </w:p>
  </w:endnote>
  <w:endnote w:type="continuationSeparator" w:id="0">
    <w:p w:rsidR="00BA1A87" w:rsidRDefault="00BA1A87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87" w:rsidRDefault="00BA1A87" w:rsidP="002A1788">
      <w:pPr>
        <w:spacing w:after="0" w:line="240" w:lineRule="auto"/>
      </w:pPr>
      <w:r>
        <w:separator/>
      </w:r>
    </w:p>
  </w:footnote>
  <w:footnote w:type="continuationSeparator" w:id="0">
    <w:p w:rsidR="00BA1A87" w:rsidRDefault="00BA1A87" w:rsidP="002A1788">
      <w:pPr>
        <w:spacing w:after="0" w:line="240" w:lineRule="auto"/>
      </w:pPr>
      <w:r>
        <w:continuationSeparator/>
      </w:r>
    </w:p>
  </w:footnote>
  <w:footnote w:id="1">
    <w:p w:rsidR="00164A67" w:rsidRDefault="00164A67" w:rsidP="003E35C2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67" w:rsidRDefault="00164A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3E7B">
      <w:rPr>
        <w:noProof/>
      </w:rPr>
      <w:t>1</w:t>
    </w:r>
    <w:r>
      <w:fldChar w:fldCharType="end"/>
    </w:r>
  </w:p>
  <w:p w:rsidR="00164A67" w:rsidRDefault="00164A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22F2D"/>
    <w:rsid w:val="00035BB9"/>
    <w:rsid w:val="0004466E"/>
    <w:rsid w:val="00060FFC"/>
    <w:rsid w:val="00075F49"/>
    <w:rsid w:val="00092B98"/>
    <w:rsid w:val="000D27BD"/>
    <w:rsid w:val="000E5ED0"/>
    <w:rsid w:val="000F159A"/>
    <w:rsid w:val="000F6ECC"/>
    <w:rsid w:val="00127171"/>
    <w:rsid w:val="00135B4B"/>
    <w:rsid w:val="00164A67"/>
    <w:rsid w:val="0017794E"/>
    <w:rsid w:val="001A14A8"/>
    <w:rsid w:val="001A38E2"/>
    <w:rsid w:val="001B3E7B"/>
    <w:rsid w:val="001B6890"/>
    <w:rsid w:val="001C61C5"/>
    <w:rsid w:val="001D4AC9"/>
    <w:rsid w:val="001E4CE8"/>
    <w:rsid w:val="002142EE"/>
    <w:rsid w:val="00220972"/>
    <w:rsid w:val="00222A36"/>
    <w:rsid w:val="00222FF9"/>
    <w:rsid w:val="0024029A"/>
    <w:rsid w:val="00244AEE"/>
    <w:rsid w:val="00261816"/>
    <w:rsid w:val="00266B2B"/>
    <w:rsid w:val="002872E3"/>
    <w:rsid w:val="00297624"/>
    <w:rsid w:val="002A1788"/>
    <w:rsid w:val="002A6218"/>
    <w:rsid w:val="002A75D3"/>
    <w:rsid w:val="002E7871"/>
    <w:rsid w:val="002F3CBF"/>
    <w:rsid w:val="0030066D"/>
    <w:rsid w:val="00303443"/>
    <w:rsid w:val="00321034"/>
    <w:rsid w:val="00323BF8"/>
    <w:rsid w:val="00324225"/>
    <w:rsid w:val="00326AF7"/>
    <w:rsid w:val="00340EFB"/>
    <w:rsid w:val="00363D34"/>
    <w:rsid w:val="00385BB8"/>
    <w:rsid w:val="003B5AEA"/>
    <w:rsid w:val="003C26BA"/>
    <w:rsid w:val="003C75C9"/>
    <w:rsid w:val="003E35C2"/>
    <w:rsid w:val="003F748C"/>
    <w:rsid w:val="0041333C"/>
    <w:rsid w:val="00415CE3"/>
    <w:rsid w:val="004323C6"/>
    <w:rsid w:val="00475695"/>
    <w:rsid w:val="004845B3"/>
    <w:rsid w:val="004B552A"/>
    <w:rsid w:val="004C43A2"/>
    <w:rsid w:val="004E4A16"/>
    <w:rsid w:val="004F1463"/>
    <w:rsid w:val="004F76B8"/>
    <w:rsid w:val="005002D6"/>
    <w:rsid w:val="005111C1"/>
    <w:rsid w:val="0053378C"/>
    <w:rsid w:val="00546E52"/>
    <w:rsid w:val="00565E19"/>
    <w:rsid w:val="00590E8D"/>
    <w:rsid w:val="005932FF"/>
    <w:rsid w:val="00594398"/>
    <w:rsid w:val="0059759A"/>
    <w:rsid w:val="005A67CC"/>
    <w:rsid w:val="005B6E6E"/>
    <w:rsid w:val="0060280E"/>
    <w:rsid w:val="00616E19"/>
    <w:rsid w:val="00620A5A"/>
    <w:rsid w:val="006270EA"/>
    <w:rsid w:val="00661235"/>
    <w:rsid w:val="00661690"/>
    <w:rsid w:val="00664A12"/>
    <w:rsid w:val="006A330D"/>
    <w:rsid w:val="006A349E"/>
    <w:rsid w:val="006C463E"/>
    <w:rsid w:val="006E60E1"/>
    <w:rsid w:val="00713DDF"/>
    <w:rsid w:val="0073018F"/>
    <w:rsid w:val="0073474C"/>
    <w:rsid w:val="00742FD2"/>
    <w:rsid w:val="0074474F"/>
    <w:rsid w:val="0077194C"/>
    <w:rsid w:val="00773D42"/>
    <w:rsid w:val="0078612E"/>
    <w:rsid w:val="007A5E24"/>
    <w:rsid w:val="007B1F27"/>
    <w:rsid w:val="007C1610"/>
    <w:rsid w:val="007C5704"/>
    <w:rsid w:val="007D3503"/>
    <w:rsid w:val="007F56FF"/>
    <w:rsid w:val="00822C19"/>
    <w:rsid w:val="00826905"/>
    <w:rsid w:val="008277DA"/>
    <w:rsid w:val="0083685B"/>
    <w:rsid w:val="00841AC6"/>
    <w:rsid w:val="0088270B"/>
    <w:rsid w:val="00894893"/>
    <w:rsid w:val="008B146D"/>
    <w:rsid w:val="008D67EC"/>
    <w:rsid w:val="0090300A"/>
    <w:rsid w:val="009217C6"/>
    <w:rsid w:val="0093251D"/>
    <w:rsid w:val="009351A6"/>
    <w:rsid w:val="0095434F"/>
    <w:rsid w:val="00966B1F"/>
    <w:rsid w:val="009744A6"/>
    <w:rsid w:val="009774B0"/>
    <w:rsid w:val="00990BE3"/>
    <w:rsid w:val="00993A9F"/>
    <w:rsid w:val="00994589"/>
    <w:rsid w:val="00997ED7"/>
    <w:rsid w:val="009A63F7"/>
    <w:rsid w:val="009F1808"/>
    <w:rsid w:val="00A3588C"/>
    <w:rsid w:val="00A608F9"/>
    <w:rsid w:val="00A635A3"/>
    <w:rsid w:val="00A7183E"/>
    <w:rsid w:val="00A82201"/>
    <w:rsid w:val="00A868D8"/>
    <w:rsid w:val="00A92A3A"/>
    <w:rsid w:val="00A95FB1"/>
    <w:rsid w:val="00A97857"/>
    <w:rsid w:val="00AB1601"/>
    <w:rsid w:val="00AB7EF9"/>
    <w:rsid w:val="00AE62C1"/>
    <w:rsid w:val="00AF0909"/>
    <w:rsid w:val="00B033B2"/>
    <w:rsid w:val="00B206A6"/>
    <w:rsid w:val="00B208F6"/>
    <w:rsid w:val="00B3233F"/>
    <w:rsid w:val="00B46D99"/>
    <w:rsid w:val="00B619C1"/>
    <w:rsid w:val="00B77C87"/>
    <w:rsid w:val="00B87F48"/>
    <w:rsid w:val="00BA1A87"/>
    <w:rsid w:val="00BB5E79"/>
    <w:rsid w:val="00BC1BC9"/>
    <w:rsid w:val="00BC1DB6"/>
    <w:rsid w:val="00BC6379"/>
    <w:rsid w:val="00BF4765"/>
    <w:rsid w:val="00C07A23"/>
    <w:rsid w:val="00C31A08"/>
    <w:rsid w:val="00C35500"/>
    <w:rsid w:val="00C438F4"/>
    <w:rsid w:val="00C70323"/>
    <w:rsid w:val="00C715CE"/>
    <w:rsid w:val="00C75C7B"/>
    <w:rsid w:val="00C86265"/>
    <w:rsid w:val="00CA5FD0"/>
    <w:rsid w:val="00CC5F07"/>
    <w:rsid w:val="00CD5CD6"/>
    <w:rsid w:val="00CE167A"/>
    <w:rsid w:val="00CE3D53"/>
    <w:rsid w:val="00CE403A"/>
    <w:rsid w:val="00CF286D"/>
    <w:rsid w:val="00D13D4B"/>
    <w:rsid w:val="00D171E5"/>
    <w:rsid w:val="00D325DB"/>
    <w:rsid w:val="00D606F2"/>
    <w:rsid w:val="00D65F8A"/>
    <w:rsid w:val="00D779A5"/>
    <w:rsid w:val="00D96762"/>
    <w:rsid w:val="00DA512A"/>
    <w:rsid w:val="00DB06EB"/>
    <w:rsid w:val="00DD67E0"/>
    <w:rsid w:val="00E308CE"/>
    <w:rsid w:val="00E30DE8"/>
    <w:rsid w:val="00E328FB"/>
    <w:rsid w:val="00E44A5B"/>
    <w:rsid w:val="00E46CAC"/>
    <w:rsid w:val="00E52466"/>
    <w:rsid w:val="00E5326E"/>
    <w:rsid w:val="00E53B03"/>
    <w:rsid w:val="00E6544D"/>
    <w:rsid w:val="00E72635"/>
    <w:rsid w:val="00E91A19"/>
    <w:rsid w:val="00EB07F6"/>
    <w:rsid w:val="00EC4609"/>
    <w:rsid w:val="00ED1F71"/>
    <w:rsid w:val="00EF48B3"/>
    <w:rsid w:val="00F10FE8"/>
    <w:rsid w:val="00F25CF3"/>
    <w:rsid w:val="00F505BD"/>
    <w:rsid w:val="00F812C7"/>
    <w:rsid w:val="00F8138A"/>
    <w:rsid w:val="00F83291"/>
    <w:rsid w:val="00F84029"/>
    <w:rsid w:val="00F85066"/>
    <w:rsid w:val="00F96A51"/>
    <w:rsid w:val="00FB45AC"/>
    <w:rsid w:val="00FB5D1B"/>
    <w:rsid w:val="00FB67C9"/>
    <w:rsid w:val="00FD77F7"/>
    <w:rsid w:val="00FE4B43"/>
    <w:rsid w:val="00FE70C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585&amp;sub=0" TargetMode="External"/><Relationship Id="rId13" Type="http://schemas.openxmlformats.org/officeDocument/2006/relationships/hyperlink" Target="http://mobileonline.garant.ru/document?id=71458394&amp;sub=0" TargetMode="External"/><Relationship Id="rId18" Type="http://schemas.openxmlformats.org/officeDocument/2006/relationships/hyperlink" Target="http://mobileonline.garant.ru/document?id=70191362&amp;sub=0" TargetMode="External"/><Relationship Id="rId26" Type="http://schemas.openxmlformats.org/officeDocument/2006/relationships/hyperlink" Target="http://mobileonline.garant.ru/document?id=7025346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003591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458394&amp;sub=300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2012604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837200&amp;sub=0" TargetMode="External"/><Relationship Id="rId20" Type="http://schemas.openxmlformats.org/officeDocument/2006/relationships/hyperlink" Target="http://mobileonline.garant.ru/document?id=71151462&amp;sub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8823788&amp;sub=0" TargetMode="External"/><Relationship Id="rId24" Type="http://schemas.openxmlformats.org/officeDocument/2006/relationships/hyperlink" Target="http://mobileonline.garant.ru/document?id=1883411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0" TargetMode="External"/><Relationship Id="rId23" Type="http://schemas.openxmlformats.org/officeDocument/2006/relationships/hyperlink" Target="http://mobileonline.garant.ru/document?id=10035918&amp;sub=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?id=45146762&amp;sub=0" TargetMode="External"/><Relationship Id="rId19" Type="http://schemas.openxmlformats.org/officeDocument/2006/relationships/hyperlink" Target="http://mobileonline.garant.ru/document?id=7063328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8831375&amp;sub=0" TargetMode="External"/><Relationship Id="rId14" Type="http://schemas.openxmlformats.org/officeDocument/2006/relationships/hyperlink" Target="http://mobileonline.garant.ru/document?id=71458394&amp;sub=3000" TargetMode="External"/><Relationship Id="rId22" Type="http://schemas.openxmlformats.org/officeDocument/2006/relationships/hyperlink" Target="http://mobileonline.garant.ru/document?id=71426800&amp;sub=0" TargetMode="External"/><Relationship Id="rId27" Type="http://schemas.openxmlformats.org/officeDocument/2006/relationships/hyperlink" Target="http://mobileonline.garant.ru/document?id=18842423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78AF-A6E4-42D7-A189-CB87B022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7130</Words>
  <Characters>40643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Чуприна Аэлита Вячеславовна</cp:lastModifiedBy>
  <cp:revision>2</cp:revision>
  <cp:lastPrinted>2023-01-30T12:13:00Z</cp:lastPrinted>
  <dcterms:created xsi:type="dcterms:W3CDTF">2023-01-31T10:19:00Z</dcterms:created>
  <dcterms:modified xsi:type="dcterms:W3CDTF">2023-01-31T10:19:00Z</dcterms:modified>
</cp:coreProperties>
</file>