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6" w:type="dxa"/>
        <w:tblCellMar>
          <w:top w:w="15" w:type="dxa"/>
          <w:left w:w="15" w:type="dxa"/>
          <w:bottom w:w="15" w:type="dxa"/>
          <w:right w:w="15" w:type="dxa"/>
        </w:tblCellMar>
        <w:tblLook w:val="04A0" w:firstRow="1" w:lastRow="0" w:firstColumn="1" w:lastColumn="0" w:noHBand="0" w:noVBand="1"/>
      </w:tblPr>
      <w:tblGrid>
        <w:gridCol w:w="2259"/>
        <w:gridCol w:w="6947"/>
      </w:tblGrid>
      <w:tr w:rsidR="00C45DAA" w:rsidRPr="00C45DAA" w:rsidTr="00BE21D5">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Номер</w:t>
            </w:r>
          </w:p>
        </w:tc>
        <w:tc>
          <w:tcPr>
            <w:tcW w:w="6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1620</w:t>
            </w:r>
          </w:p>
        </w:tc>
      </w:tr>
      <w:tr w:rsidR="00C45DAA" w:rsidRPr="00C45DAA" w:rsidTr="00BE21D5">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Дата</w:t>
            </w:r>
          </w:p>
        </w:tc>
        <w:tc>
          <w:tcPr>
            <w:tcW w:w="69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08.08.2019</w:t>
            </w:r>
          </w:p>
        </w:tc>
      </w:tr>
      <w:tr w:rsidR="00C45DAA" w:rsidRPr="00C45DAA" w:rsidTr="00BE21D5">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Тип документа</w:t>
            </w:r>
          </w:p>
        </w:tc>
        <w:tc>
          <w:tcPr>
            <w:tcW w:w="694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Постановление</w:t>
            </w:r>
          </w:p>
        </w:tc>
      </w:tr>
      <w:tr w:rsidR="00C45DAA" w:rsidRPr="00C45DAA" w:rsidTr="00BE21D5">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Орган издания</w:t>
            </w:r>
          </w:p>
        </w:tc>
        <w:tc>
          <w:tcPr>
            <w:tcW w:w="69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5DAA" w:rsidRPr="00C45DAA" w:rsidRDefault="00C45DAA" w:rsidP="00BE21D5">
            <w:pPr>
              <w:spacing w:after="0" w:line="240" w:lineRule="auto"/>
              <w:rPr>
                <w:rFonts w:eastAsia="Times New Roman" w:cs="Times New Roman"/>
                <w:color w:val="auto"/>
                <w:szCs w:val="24"/>
                <w:lang w:eastAsia="ru-RU"/>
              </w:rPr>
            </w:pPr>
            <w:r w:rsidRPr="00C45DAA">
              <w:rPr>
                <w:rFonts w:eastAsia="Times New Roman" w:cs="Times New Roman"/>
                <w:color w:val="auto"/>
                <w:szCs w:val="24"/>
                <w:lang w:eastAsia="ru-RU"/>
              </w:rPr>
              <w:t>Администрация города</w:t>
            </w:r>
          </w:p>
        </w:tc>
      </w:tr>
    </w:tbl>
    <w:p w:rsidR="00077A11" w:rsidRDefault="00077A11" w:rsidP="00C45DAA">
      <w:pPr>
        <w:shd w:val="clear" w:color="auto" w:fill="FFFFFF"/>
        <w:spacing w:after="0" w:line="240" w:lineRule="auto"/>
        <w:rPr>
          <w:rFonts w:eastAsia="Times New Roman" w:cs="Times New Roman"/>
          <w:szCs w:val="24"/>
          <w:lang w:eastAsia="ru-RU"/>
        </w:rPr>
      </w:pPr>
    </w:p>
    <w:p w:rsidR="00C45DAA" w:rsidRPr="00C45DAA" w:rsidRDefault="00C45DAA" w:rsidP="00C45DAA">
      <w:pPr>
        <w:shd w:val="clear" w:color="auto" w:fill="FFFFFF"/>
        <w:spacing w:after="0" w:line="240" w:lineRule="auto"/>
        <w:rPr>
          <w:rFonts w:eastAsia="Times New Roman" w:cs="Times New Roman"/>
          <w:szCs w:val="24"/>
          <w:lang w:eastAsia="ru-RU"/>
        </w:rPr>
      </w:pPr>
      <w:r w:rsidRPr="00C45DAA">
        <w:rPr>
          <w:rFonts w:eastAsia="Times New Roman" w:cs="Times New Roman"/>
          <w:szCs w:val="24"/>
          <w:lang w:eastAsia="ru-RU"/>
        </w:rPr>
        <w:t>О внесении изменений в постановление администрации города</w:t>
      </w:r>
      <w:r w:rsidRPr="00C45DAA">
        <w:rPr>
          <w:rFonts w:eastAsia="Times New Roman" w:cs="Times New Roman"/>
          <w:szCs w:val="24"/>
          <w:lang w:eastAsia="ru-RU"/>
        </w:rPr>
        <w:br/>
        <w:t>от 19.12.2018 №2746 «Об утверждении муниципальной программы</w:t>
      </w:r>
      <w:r w:rsidRPr="00C45DAA">
        <w:rPr>
          <w:rFonts w:eastAsia="Times New Roman" w:cs="Times New Roman"/>
          <w:szCs w:val="24"/>
          <w:lang w:eastAsia="ru-RU"/>
        </w:rPr>
        <w:br/>
        <w:t>«Поддержка и развитие малого и среднего предпринимательства</w:t>
      </w:r>
      <w:r w:rsidRPr="00C45DAA">
        <w:rPr>
          <w:rFonts w:eastAsia="Times New Roman" w:cs="Times New Roman"/>
          <w:szCs w:val="24"/>
          <w:lang w:eastAsia="ru-RU"/>
        </w:rPr>
        <w:br/>
        <w:t>на территории городского округа город Мегион на 2019-2025 годы»</w:t>
      </w:r>
      <w:r w:rsidRPr="00C45DAA">
        <w:rPr>
          <w:rFonts w:eastAsia="Times New Roman" w:cs="Times New Roman"/>
          <w:szCs w:val="24"/>
          <w:lang w:eastAsia="ru-RU"/>
        </w:rPr>
        <w:br/>
        <w:t>(с изменениями)</w:t>
      </w:r>
      <w:bookmarkStart w:id="0" w:name="_GoBack"/>
      <w:bookmarkEnd w:id="0"/>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В соответствии с постановлением Правительства Ханты-Мансийского автономного округа – Югры от 22.03.2019 №85-п «О внесении изменений в постановление Правительства Ханты-Мансийского автономного округа – Югры от 05.10.2018 №336-п «О государственной программе Ханты-Мансийского автономного округа – Югры «Развитие экономического потенциала», приказа Департамента экономического развития Ханты-Мансийского автономного округа – Югры от 27.03.2019 №62 «Об утверждении методических рекомендаций по реализации мероприятий муниципальных программ (подпрограмм) развитие малого и среднего предпринимательства, </w:t>
      </w:r>
      <w:proofErr w:type="spellStart"/>
      <w:r w:rsidRPr="00C45DAA">
        <w:rPr>
          <w:rFonts w:eastAsia="Times New Roman" w:cs="Times New Roman"/>
          <w:szCs w:val="24"/>
          <w:lang w:eastAsia="ru-RU"/>
        </w:rPr>
        <w:t>софинансируемых</w:t>
      </w:r>
      <w:proofErr w:type="spellEnd"/>
      <w:r w:rsidRPr="00C45DAA">
        <w:rPr>
          <w:rFonts w:eastAsia="Times New Roman" w:cs="Times New Roman"/>
          <w:szCs w:val="24"/>
          <w:lang w:eastAsia="ru-RU"/>
        </w:rPr>
        <w:t xml:space="preserve"> из средств бюджета Ханты-Мансийского автономного округа – Югры»: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1.Внести изменения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(далее – Программа):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w:t>
      </w:r>
      <w:proofErr w:type="gramStart"/>
      <w:r w:rsidRPr="00C45DAA">
        <w:rPr>
          <w:rFonts w:eastAsia="Times New Roman" w:cs="Times New Roman"/>
          <w:szCs w:val="24"/>
          <w:lang w:eastAsia="ru-RU"/>
        </w:rPr>
        <w:t>1.После</w:t>
      </w:r>
      <w:proofErr w:type="gramEnd"/>
      <w:r w:rsidRPr="00C45DAA">
        <w:rPr>
          <w:rFonts w:eastAsia="Times New Roman" w:cs="Times New Roman"/>
          <w:szCs w:val="24"/>
          <w:lang w:eastAsia="ru-RU"/>
        </w:rPr>
        <w:t xml:space="preserve"> абзаца 1 пункта 2.25. раздела 1 приложения 1 к программе дополнить пунктом 2.26. следующего содержания: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«2.</w:t>
      </w:r>
      <w:proofErr w:type="gramStart"/>
      <w:r w:rsidRPr="00C45DAA">
        <w:rPr>
          <w:rFonts w:eastAsia="Times New Roman" w:cs="Times New Roman"/>
          <w:szCs w:val="24"/>
          <w:lang w:eastAsia="ru-RU"/>
        </w:rPr>
        <w:t>26.Начинающие</w:t>
      </w:r>
      <w:proofErr w:type="gramEnd"/>
      <w:r w:rsidRPr="00C45DAA">
        <w:rPr>
          <w:rFonts w:eastAsia="Times New Roman" w:cs="Times New Roman"/>
          <w:szCs w:val="24"/>
          <w:lang w:eastAsia="ru-RU"/>
        </w:rPr>
        <w:t xml:space="preserve"> предприниматели – впервые зарегистрированные и действующие менее 1 года индивидуальные предприниматели и юридические лица.».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w:t>
      </w:r>
      <w:proofErr w:type="gramStart"/>
      <w:r w:rsidRPr="00C45DAA">
        <w:rPr>
          <w:rFonts w:eastAsia="Times New Roman" w:cs="Times New Roman"/>
          <w:szCs w:val="24"/>
          <w:lang w:eastAsia="ru-RU"/>
        </w:rPr>
        <w:t>2.Пункты</w:t>
      </w:r>
      <w:proofErr w:type="gramEnd"/>
      <w:r w:rsidRPr="00C45DAA">
        <w:rPr>
          <w:rFonts w:eastAsia="Times New Roman" w:cs="Times New Roman"/>
          <w:szCs w:val="24"/>
          <w:lang w:eastAsia="ru-RU"/>
        </w:rPr>
        <w:t xml:space="preserve"> 8, 9, 10, 11 раздела 1 приложения 1 к программе изложить в новой редакции: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w:t>
      </w:r>
      <w:proofErr w:type="gramStart"/>
      <w:r w:rsidRPr="00C45DAA">
        <w:rPr>
          <w:rFonts w:eastAsia="Times New Roman" w:cs="Times New Roman"/>
          <w:szCs w:val="24"/>
          <w:lang w:eastAsia="ru-RU"/>
        </w:rPr>
        <w:t>8.Реализация</w:t>
      </w:r>
      <w:proofErr w:type="gramEnd"/>
      <w:r w:rsidRPr="00C45DAA">
        <w:rPr>
          <w:rFonts w:eastAsia="Times New Roman" w:cs="Times New Roman"/>
          <w:szCs w:val="24"/>
          <w:lang w:eastAsia="ru-RU"/>
        </w:rPr>
        <w:t xml:space="preserve"> мероприятий «Создание условий для развития субъектов малого и среднего предпринимательства».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8.</w:t>
      </w:r>
      <w:proofErr w:type="gramStart"/>
      <w:r w:rsidRPr="00C45DAA">
        <w:rPr>
          <w:rFonts w:eastAsia="Times New Roman" w:cs="Times New Roman"/>
          <w:szCs w:val="24"/>
          <w:lang w:eastAsia="ru-RU"/>
        </w:rPr>
        <w:t>1.Организация</w:t>
      </w:r>
      <w:proofErr w:type="gramEnd"/>
      <w:r w:rsidRPr="00C45DAA">
        <w:rPr>
          <w:rFonts w:eastAsia="Times New Roman" w:cs="Times New Roman"/>
          <w:szCs w:val="24"/>
          <w:lang w:eastAsia="ru-RU"/>
        </w:rPr>
        <w:t xml:space="preserve"> мониторинга деятельности Субъектов.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Мониторинг деятельности Субъектов проводится в целях:</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обобщения данных о деятельности Субъектов, определения приоритетных направлений развития предпринимательской деятельности и достижения социального и экономического эффекта;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 xml:space="preserve">сбора данных для наполнения </w:t>
      </w:r>
      <w:proofErr w:type="spellStart"/>
      <w:r w:rsidRPr="00C45DAA">
        <w:rPr>
          <w:rFonts w:eastAsia="Times New Roman" w:cs="Times New Roman"/>
          <w:szCs w:val="24"/>
          <w:lang w:eastAsia="ru-RU"/>
        </w:rPr>
        <w:t>геомаркетинговой</w:t>
      </w:r>
      <w:proofErr w:type="spellEnd"/>
      <w:r w:rsidRPr="00C45DAA">
        <w:rPr>
          <w:rFonts w:eastAsia="Times New Roman" w:cs="Times New Roman"/>
          <w:szCs w:val="24"/>
          <w:lang w:eastAsia="ru-RU"/>
        </w:rPr>
        <w:t xml:space="preserve"> информационно-аналитической системы (далее – Бизнес-навигатор МСП).</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Реализация мероприятия по организации мониторинга деятельности Субъектов осуществляется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Результаты Мониторинга деятельности Субъектов, проведенного в целях обобщения данных о деятельности Субъектов городского округа город Мегион, определения приоритетных направлений развития предпринимательской деятельности и достижения социального и экономического эффекта в течение 10 рабочих дней (со дня их получения) публикуют на официальном сайте администрации города Мегиона в сети «Интернет» и направляют в Департамент экономического развития автономного округа.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Содержание, структура и формат данных для наполнения Бизнес-навигатора должны соответствовать требованиям, установленным в Методических рекомендациях по вопросам оказания информационной и маркетинговой поддержки, утвержденных протоколом Совета директоров Акционерного общества «Федеральная корпорация по развитию малого и среднего предпринимательства» (далее – Корпорация МСП) от 23 декабря 2016 года № 24 и размещенных на официальном сайте Корпорации МСП (</w:t>
      </w:r>
      <w:hyperlink r:id="rId5" w:history="1">
        <w:r w:rsidRPr="00C45DAA">
          <w:rPr>
            <w:rFonts w:eastAsia="Times New Roman" w:cs="Times New Roman"/>
            <w:color w:val="0095DA"/>
            <w:szCs w:val="24"/>
            <w:u w:val="single"/>
            <w:lang w:eastAsia="ru-RU"/>
          </w:rPr>
          <w:t>https://corpmsp.ru/</w:t>
        </w:r>
      </w:hyperlink>
      <w:r w:rsidRPr="00C45DAA">
        <w:rPr>
          <w:rFonts w:eastAsia="Times New Roman" w:cs="Times New Roman"/>
          <w:szCs w:val="24"/>
          <w:lang w:eastAsia="ru-RU"/>
        </w:rPr>
        <w:t>).</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8.</w:t>
      </w:r>
      <w:proofErr w:type="gramStart"/>
      <w:r w:rsidRPr="00C45DAA">
        <w:rPr>
          <w:rFonts w:eastAsia="Times New Roman" w:cs="Times New Roman"/>
          <w:szCs w:val="24"/>
          <w:lang w:eastAsia="ru-RU"/>
        </w:rPr>
        <w:t>2.Организация</w:t>
      </w:r>
      <w:proofErr w:type="gramEnd"/>
      <w:r w:rsidRPr="00C45DAA">
        <w:rPr>
          <w:rFonts w:eastAsia="Times New Roman" w:cs="Times New Roman"/>
          <w:szCs w:val="24"/>
          <w:lang w:eastAsia="ru-RU"/>
        </w:rPr>
        <w:t xml:space="preserve"> мероприятий по информационно-консультационной поддержке, популяризации и пропаганде предпринимательской деятельности.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Мероприятия реализуются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путем: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организации муниципальных </w:t>
      </w:r>
      <w:proofErr w:type="spellStart"/>
      <w:r w:rsidRPr="00C45DAA">
        <w:rPr>
          <w:rFonts w:eastAsia="Times New Roman" w:cs="Times New Roman"/>
          <w:szCs w:val="24"/>
          <w:lang w:eastAsia="ru-RU"/>
        </w:rPr>
        <w:t>выставочно</w:t>
      </w:r>
      <w:proofErr w:type="spellEnd"/>
      <w:r w:rsidRPr="00C45DAA">
        <w:rPr>
          <w:rFonts w:eastAsia="Times New Roman" w:cs="Times New Roman"/>
          <w:szCs w:val="24"/>
          <w:lang w:eastAsia="ru-RU"/>
        </w:rPr>
        <w:t xml:space="preserve"> – ярмарочных мероприятий и организацию участия Субъектов в межмуниципальных, региональных и межрегиональных </w:t>
      </w:r>
      <w:proofErr w:type="spellStart"/>
      <w:r w:rsidRPr="00C45DAA">
        <w:rPr>
          <w:rFonts w:eastAsia="Times New Roman" w:cs="Times New Roman"/>
          <w:szCs w:val="24"/>
          <w:lang w:eastAsia="ru-RU"/>
        </w:rPr>
        <w:t>выставочно</w:t>
      </w:r>
      <w:proofErr w:type="spellEnd"/>
      <w:r w:rsidRPr="00C45DAA">
        <w:rPr>
          <w:rFonts w:eastAsia="Times New Roman" w:cs="Times New Roman"/>
          <w:szCs w:val="24"/>
          <w:lang w:eastAsia="ru-RU"/>
        </w:rPr>
        <w:t xml:space="preserve"> – ярмарочных мероприятиях;</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организации мероприятий, направленных на популяризацию и создание положительного мнения о предпринимательской деятельности, повышение информированности граждан и Субъектов о возможностях для развития бизнеса и о существующих мерах и программах поддержки;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изготовления (приобретения) материальных запасов, способствующих повышению информированности граждан и Субъектов о возможностях для развития бизнеса и о существующих мерах и программах поддержки.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 организации мероприятий, не допускаются расходы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официальные приемы, в том числе на организацию завтрака, обеда, ужина, мероприятия в форме фуршет-приема, иного аналогичного мероприятия;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буфетное обслуживание, в том числе на кофе-паузу (кофе-брейк) и сервисное обслуживание буфетной продукции;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предоставление денежных премий (призов) Субъектам.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8.</w:t>
      </w:r>
      <w:proofErr w:type="gramStart"/>
      <w:r w:rsidRPr="00C45DAA">
        <w:rPr>
          <w:rFonts w:eastAsia="Times New Roman" w:cs="Times New Roman"/>
          <w:szCs w:val="24"/>
          <w:lang w:eastAsia="ru-RU"/>
        </w:rPr>
        <w:t>3.Финансовая</w:t>
      </w:r>
      <w:proofErr w:type="gramEnd"/>
      <w:r w:rsidRPr="00C45DAA">
        <w:rPr>
          <w:rFonts w:eastAsia="Times New Roman" w:cs="Times New Roman"/>
          <w:szCs w:val="24"/>
          <w:lang w:eastAsia="ru-RU"/>
        </w:rPr>
        <w:t xml:space="preserve"> поддержка Субъектов на создание </w:t>
      </w:r>
      <w:proofErr w:type="spellStart"/>
      <w:r w:rsidRPr="00C45DAA">
        <w:rPr>
          <w:rFonts w:eastAsia="Times New Roman" w:cs="Times New Roman"/>
          <w:szCs w:val="24"/>
          <w:lang w:eastAsia="ru-RU"/>
        </w:rPr>
        <w:t>коворкинг</w:t>
      </w:r>
      <w:proofErr w:type="spellEnd"/>
      <w:r w:rsidRPr="00C45DAA">
        <w:rPr>
          <w:rFonts w:eastAsia="Times New Roman" w:cs="Times New Roman"/>
          <w:szCs w:val="24"/>
          <w:lang w:eastAsia="ru-RU"/>
        </w:rPr>
        <w:t>-центров в виде возмещения части затрат на оборудование рабочих мест для Субъектов и помещений для проведения совещаний (конференций).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Субъекта на приобретение: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компьютерного оборудования;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лицензионных программных продуктов;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оргтехники;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офисной мебели.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spellStart"/>
      <w:r w:rsidRPr="00C45DAA">
        <w:rPr>
          <w:rFonts w:eastAsia="Times New Roman" w:cs="Times New Roman"/>
          <w:szCs w:val="24"/>
          <w:lang w:eastAsia="ru-RU"/>
        </w:rPr>
        <w:t>Коворкинг</w:t>
      </w:r>
      <w:proofErr w:type="spellEnd"/>
      <w:r w:rsidRPr="00C45DAA">
        <w:rPr>
          <w:rFonts w:eastAsia="Times New Roman" w:cs="Times New Roman"/>
          <w:szCs w:val="24"/>
          <w:lang w:eastAsia="ru-RU"/>
        </w:rPr>
        <w:t>-центр должен соответствовать следующим требованиям: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площадь помещения должна составлять не менее 80 кв. 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помещения должны быть оборудованы средствами пожаротушения (огнетушители, установки автоматического или полуавтоматического пожаротушения), системой вентиляции и (или) кондиционирования воздуха и доступными местами общественного пользования, в том числе туалетами.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рабочие места для Субъектов должны быть оборудованы офисной мебелью, компьютерной техникой с доступом к высококачественному интернету.</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9.Реализация мероприятия «Финансовая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 и деятельность в социальной сфере».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Финансовая поддержка Субъектам, осуществляющим социально </w:t>
      </w:r>
      <w:r w:rsidR="00BE21D5" w:rsidRPr="00C45DAA">
        <w:rPr>
          <w:rFonts w:eastAsia="Times New Roman" w:cs="Times New Roman"/>
          <w:szCs w:val="24"/>
          <w:lang w:eastAsia="ru-RU"/>
        </w:rPr>
        <w:t>значимые виды деятельности,</w:t>
      </w:r>
      <w:r w:rsidRPr="00C45DAA">
        <w:rPr>
          <w:rFonts w:eastAsia="Times New Roman" w:cs="Times New Roman"/>
          <w:szCs w:val="24"/>
          <w:lang w:eastAsia="ru-RU"/>
        </w:rPr>
        <w:t xml:space="preserve"> предоставляется в соответствии с утвержденным пунктом 7 раздела 1 настоящего Порядка (по ОКВЭД) перечнем социально значимых видов деятельности Субъектов.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Финансовая поддержка Субъектам, осуществляющим деятельность </w:t>
      </w:r>
      <w:proofErr w:type="gramStart"/>
      <w:r w:rsidRPr="00C45DAA">
        <w:rPr>
          <w:rFonts w:eastAsia="Times New Roman" w:cs="Times New Roman"/>
          <w:szCs w:val="24"/>
          <w:lang w:eastAsia="ru-RU"/>
        </w:rPr>
        <w:t>в социальной сфере</w:t>
      </w:r>
      <w:proofErr w:type="gramEnd"/>
      <w:r w:rsidRPr="00C45DAA">
        <w:rPr>
          <w:rFonts w:eastAsia="Times New Roman" w:cs="Times New Roman"/>
          <w:szCs w:val="24"/>
          <w:lang w:eastAsia="ru-RU"/>
        </w:rPr>
        <w:t xml:space="preserve"> предоставляется в соответствии с условиями, утвержденными в статье 5.1 Закона автономного округа от 29.12.2007 года №213-оз «О развитии малого и среднего предпринимательства в Ханты-Мансийском автономном округе – Югре».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Принимаются к возмещению затраты Субъектов, произведенные не ранее 12 (двенадцати) месяцев, предшествующих дате принятия заявления.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Мероприятие включает в себя следующие направления: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1.Возмещению</w:t>
      </w:r>
      <w:proofErr w:type="gramEnd"/>
      <w:r w:rsidRPr="00C45DAA">
        <w:rPr>
          <w:rFonts w:eastAsia="Times New Roman" w:cs="Times New Roman"/>
          <w:szCs w:val="24"/>
          <w:lang w:eastAsia="ru-RU"/>
        </w:rPr>
        <w:t xml:space="preserve">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 июля 2007 года №209-ФЗ «О развитии малого и среднего предпринимательства в Российской Федерации»).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К возмещению принимаются затраты Субъектов по договорам аренды (субаренды) нежилых помещений, без учета коммунальных услуг.</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2.Возмещение</w:t>
      </w:r>
      <w:proofErr w:type="gramEnd"/>
      <w:r w:rsidRPr="00C45DAA">
        <w:rPr>
          <w:rFonts w:eastAsia="Times New Roman" w:cs="Times New Roman"/>
          <w:szCs w:val="24"/>
          <w:lang w:eastAsia="ru-RU"/>
        </w:rPr>
        <w:t xml:space="preserve"> части затрат по предоставленным консалтинговым услугам.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Субъектов по предоставленным консалтинговым услугам по договорам, заключенным на оказание услуг:</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 консультированию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 подготовке пакетов учредительных документов при создании новых организаций;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 оказанию помощи в ведении бизнеса.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3.Возмещение</w:t>
      </w:r>
      <w:proofErr w:type="gramEnd"/>
      <w:r w:rsidRPr="00C45DAA">
        <w:rPr>
          <w:rFonts w:eastAsia="Times New Roman" w:cs="Times New Roman"/>
          <w:szCs w:val="24"/>
          <w:lang w:eastAsia="ru-RU"/>
        </w:rPr>
        <w:t xml:space="preserve">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Субъектов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регистрацию декларации о соответствии;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проведение анализа документов;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исследование качества и безопасности продукции;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проведение работ по подтверждению соответствия продукции;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проведение работ по испытаниям продукции;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оформление и переоформление сертификатов и деклараций о соответствии, санитарно-эпидемиологической экспертиз.</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Возмещение части затрат по обязательной и добровольной сертификации (декларированию) продукции (в том числе продовольственного сырья) Субъектам, включенным Фондом «Центр координации поддержки экспортно-ориентированных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Перечень экспортно-ориентированных субъектов малого и среднего предпринимательства размещен на официальном сайте Фонда «Центр координации поддержки экспортно-ориентированных субъектов малого и среднего предпринимательства Югры» </w:t>
      </w:r>
      <w:hyperlink r:id="rId6" w:history="1">
        <w:r w:rsidRPr="00C45DAA">
          <w:rPr>
            <w:rFonts w:eastAsia="Times New Roman" w:cs="Times New Roman"/>
            <w:color w:val="0095DA"/>
            <w:szCs w:val="24"/>
            <w:u w:val="single"/>
            <w:lang w:eastAsia="ru-RU"/>
          </w:rPr>
          <w:t>http://www.export-ugra.ru/</w:t>
        </w:r>
      </w:hyperlink>
      <w:r w:rsidRPr="00C45DAA">
        <w:rPr>
          <w:rFonts w:eastAsia="Times New Roman" w:cs="Times New Roman"/>
          <w:szCs w:val="24"/>
          <w:u w:val="single"/>
          <w:lang w:eastAsia="ru-RU"/>
        </w:rPr>
        <w:t>.</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4.Возмещение</w:t>
      </w:r>
      <w:proofErr w:type="gramEnd"/>
      <w:r w:rsidRPr="00C45DAA">
        <w:rPr>
          <w:rFonts w:eastAsia="Times New Roman" w:cs="Times New Roman"/>
          <w:szCs w:val="24"/>
          <w:lang w:eastAsia="ru-RU"/>
        </w:rPr>
        <w:t xml:space="preserve"> части затрат, связанных со специальной оценкой условий труда.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Субъектов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5.Возмещение</w:t>
      </w:r>
      <w:proofErr w:type="gramEnd"/>
      <w:r w:rsidRPr="00C45DAA">
        <w:rPr>
          <w:rFonts w:eastAsia="Times New Roman" w:cs="Times New Roman"/>
          <w:szCs w:val="24"/>
          <w:lang w:eastAsia="ru-RU"/>
        </w:rPr>
        <w:t xml:space="preserve"> части затрат на приобретение оборудования (основных средств) и лицензионных программных продуктов.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Возмещение части затрат Субъектам осуществляется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9.5.1.Приобретение оборудования, относящегося к основным средствам (далее оборудование),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12.12.2014 №2018-ст.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не подлежат затраты Субъектов: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 доставку и монтаж оборудования.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9.5.</w:t>
      </w:r>
      <w:proofErr w:type="gramStart"/>
      <w:r w:rsidRPr="00C45DAA">
        <w:rPr>
          <w:rFonts w:eastAsia="Times New Roman" w:cs="Times New Roman"/>
          <w:szCs w:val="24"/>
          <w:lang w:eastAsia="ru-RU"/>
        </w:rPr>
        <w:t>2.Приобретение</w:t>
      </w:r>
      <w:proofErr w:type="gramEnd"/>
      <w:r w:rsidRPr="00C45DAA">
        <w:rPr>
          <w:rFonts w:eastAsia="Times New Roman" w:cs="Times New Roman"/>
          <w:szCs w:val="24"/>
          <w:lang w:eastAsia="ru-RU"/>
        </w:rPr>
        <w:t xml:space="preserve">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6.Возмещение</w:t>
      </w:r>
      <w:proofErr w:type="gramEnd"/>
      <w:r w:rsidRPr="00C45DAA">
        <w:rPr>
          <w:rFonts w:eastAsia="Times New Roman" w:cs="Times New Roman"/>
          <w:szCs w:val="24"/>
          <w:lang w:eastAsia="ru-RU"/>
        </w:rPr>
        <w:t xml:space="preserve"> части затрат, связанных с прохождением курсов повышения квалификации.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Возмещению подлежат фактически произведенные и документально подтвержденные затраты Субъектов по договорам на оказание услуг по дополнительному профессиональному образованию (курсы повышения квалификации) при предъявлении </w:t>
      </w:r>
      <w:r w:rsidRPr="00C45DAA">
        <w:rPr>
          <w:rFonts w:eastAsia="Times New Roman" w:cs="Times New Roman"/>
          <w:szCs w:val="24"/>
          <w:lang w:eastAsia="ru-RU"/>
        </w:rPr>
        <w:lastRenderedPageBreak/>
        <w:t>копий документов, подтверждающих прохождение курсов повышения квалификации (свидетельства, удостоверения, дипломы, сертификаты).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7.Возмещение</w:t>
      </w:r>
      <w:proofErr w:type="gramEnd"/>
      <w:r w:rsidRPr="00C45DAA">
        <w:rPr>
          <w:rFonts w:eastAsia="Times New Roman" w:cs="Times New Roman"/>
          <w:szCs w:val="24"/>
          <w:lang w:eastAsia="ru-RU"/>
        </w:rPr>
        <w:t xml:space="preserve">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Объектами товаропроводящей сети по реализации ремесленных товаров являются: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фирменные магазины по реализации ремесленной продукции, имеющие фирменное наименование, фирменный знак, фирменную упаковку для продаваемых товаров, фирменную одежду для своих работников, выполненную в едином стиле;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магазины – мастерские по производству и сбыту продукции и изделий народных художественных промыслов и ремесел;</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киоски, торговые павильоны, лотки, палатки.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Субъектов, осуществляющих ремесленную деятельность и деятельность в сфере народных художественных промыслов на приобретение: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объектов товаропроводящей сети;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технологического оборудования, используемого при производстве продукции и изделий народных художественных промыслов и ремесел;</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торгового оборудования, предназначенного для размещения, хранения, выкладки, демонстрации и реализации продукции и изделий народных художественных промыслов и ремесел.</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Ремесленная деятельность и деятельность в сфере народных художественных промыслов, определяется в соответствии с кодами ОКВЭД:</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16.2. Производство изделий из дерева, пробки, соломки и материалов для плетения;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23.7. Резка, обработка и отделка камня;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25.5. Ковка, прессование, штамповка и профилирование; изготовление изделий методом порошковой металлургии;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32.99.8. Производство изделий народных художественных промыслов;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90.03. Деятельность в области художественного творчества.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Возмещение части затрат Субъектам осуществляется на объекты товаропроводящей сети, технологическое и торговое оборудование стоимостью более 20,0 тыс. рублей за единицу.</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 приказом Министерства промышленности и торговли Российской Федерации от 15.04.2009 №274.</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Перечень видов ремесленной деятельности в сфере малого и среднего предпринимательства в Ханты-Мансийском автономном округе – Югре, групп и видов изделий, в соответствии с которым осуществляется отнесение изделий к изделиям ремесленной деятельности, утверждается приказом Департамента экономического развития автономного округа.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8.Возмещение</w:t>
      </w:r>
      <w:proofErr w:type="gramEnd"/>
      <w:r w:rsidRPr="00C45DAA">
        <w:rPr>
          <w:rFonts w:eastAsia="Times New Roman" w:cs="Times New Roman"/>
          <w:szCs w:val="24"/>
          <w:lang w:eastAsia="ru-RU"/>
        </w:rPr>
        <w:t xml:space="preserve">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Субъектов на приобретение необходимых для производства продукции и изделий народных художественных промыслов и ремесел:</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сырья (металлы (черные, цветные) и их сплавы; камни (натуральные, искусственные); пластические массы; дерево; папье-маше; рог, кость и их сочетания; керамику и стекло; кожу, ткани и прочее сырье);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расходных материалов (лаки; нитки; гвозди; перчатки и прочие расходные материалы);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инструментов (кисти; иглы; дрели; ножовки, стамески и прочие инструменты).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Ремесленная деятельность и деятельность в сфере народных художественных промыслов, определяется аналогично условиям, установленным в пункте 9.7 настоящего Порядка.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 приказом Министерства промышленности и торговли Российской Федерации от 15.04.2009 №274.</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Перечень видов ремесленной деятельности в сфере малого и среднего предпринимательства в Ханты-Мансийском автономном округе – Югре, групп и видов изделий, в соответствии с которым осуществляется отнесение изделий к изделиям ремесленной деятельности, утверждается приказом Департамента экономического развития автономного округа.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9.Возмещение</w:t>
      </w:r>
      <w:proofErr w:type="gramEnd"/>
      <w:r w:rsidRPr="00C45DAA">
        <w:rPr>
          <w:rFonts w:eastAsia="Times New Roman" w:cs="Times New Roman"/>
          <w:szCs w:val="24"/>
          <w:lang w:eastAsia="ru-RU"/>
        </w:rPr>
        <w:t xml:space="preserve">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Финансовая поддержка предоставляется Субъектам, осуществляющим основную деятельность: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 дневному уходу за детьми дошкольного возраста (детские ясли, сады), в том числе дневному уходу за детьми с отклонениями в развитии, определяемую в соответствии с кодами 88.91 «Предоставление услуг по дневному уходу за детьми» и 88.99 «Предоставление прочих социальных услуг без обеспечения проживания» ОКВЭД;</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 реализации общеобразовательных программ дошкольного образования различной направленности, обеспечивающих воспитание и обучение детей (детские сады, подготовительные классы и т.п.), определяемую в соответствии с кодом 85.11 «Образование дошкольное» ОКВЭД.</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затраты Субъектов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оплату аренды (субаренды) и (или) выкуп помещения для создания центров (групп) времяпрепровождения детей, в том числе кратковременного пребывания детей и дошкольных образовательных центров;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ремонт (реконструкцию) помещения, для осуществления Субъектом деятельности;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приобретение оборудования (телевизоры; проекторы; холодильники; стиральные машины и др.), мебели (кровати, шкафы столы, стулья, диваны и др.), материалов (учебных, методических, развивающих и др.), инвентаря (спортивного, хозяйственного и др.), необходимого для организации деятельности Субъекта.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Помещения дошкольных образовательных центров должны соответствовать требованиям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 и </w:t>
      </w:r>
      <w:proofErr w:type="gramStart"/>
      <w:r w:rsidRPr="00C45DAA">
        <w:rPr>
          <w:rFonts w:eastAsia="Times New Roman" w:cs="Times New Roman"/>
          <w:szCs w:val="24"/>
          <w:lang w:eastAsia="ru-RU"/>
        </w:rPr>
        <w:t>ликвидации последствий стихийных бедствий России</w:t>
      </w:r>
      <w:proofErr w:type="gramEnd"/>
      <w:r w:rsidRPr="00C45DAA">
        <w:rPr>
          <w:rFonts w:eastAsia="Times New Roman" w:cs="Times New Roman"/>
          <w:szCs w:val="24"/>
          <w:lang w:eastAsia="ru-RU"/>
        </w:rPr>
        <w:t xml:space="preserve"> и иным требованиям законодательства Российской Федерации, необходимым для организации работы дошкольных образовательных центров.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9.</w:t>
      </w:r>
      <w:proofErr w:type="gramStart"/>
      <w:r w:rsidRPr="00C45DAA">
        <w:rPr>
          <w:rFonts w:eastAsia="Times New Roman" w:cs="Times New Roman"/>
          <w:szCs w:val="24"/>
          <w:lang w:eastAsia="ru-RU"/>
        </w:rPr>
        <w:t>10.По</w:t>
      </w:r>
      <w:proofErr w:type="gramEnd"/>
      <w:r w:rsidRPr="00C45DAA">
        <w:rPr>
          <w:rFonts w:eastAsia="Times New Roman" w:cs="Times New Roman"/>
          <w:szCs w:val="24"/>
          <w:lang w:eastAsia="ru-RU"/>
        </w:rPr>
        <w:t xml:space="preserve"> мероприятию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затраты Субъектов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реализацию программ по энергосбережению, мероприятия по которым реализуются по </w:t>
      </w:r>
      <w:proofErr w:type="spellStart"/>
      <w:r w:rsidRPr="00C45DAA">
        <w:rPr>
          <w:rFonts w:eastAsia="Times New Roman" w:cs="Times New Roman"/>
          <w:szCs w:val="24"/>
          <w:lang w:eastAsia="ru-RU"/>
        </w:rPr>
        <w:t>энергосервисным</w:t>
      </w:r>
      <w:proofErr w:type="spellEnd"/>
      <w:r w:rsidRPr="00C45DAA">
        <w:rPr>
          <w:rFonts w:eastAsia="Times New Roman" w:cs="Times New Roman"/>
          <w:szCs w:val="24"/>
          <w:lang w:eastAsia="ru-RU"/>
        </w:rPr>
        <w:t xml:space="preserve"> договорам, заключенным в соответствии с требованиями Федерального закона от 23.11.2009 №261-ФЗ «Об энергосбережении и о повышении </w:t>
      </w:r>
      <w:proofErr w:type="gramStart"/>
      <w:r w:rsidRPr="00C45DAA">
        <w:rPr>
          <w:rFonts w:eastAsia="Times New Roman" w:cs="Times New Roman"/>
          <w:szCs w:val="24"/>
          <w:lang w:eastAsia="ru-RU"/>
        </w:rPr>
        <w:t>энергетической эффективности</w:t>
      </w:r>
      <w:proofErr w:type="gramEnd"/>
      <w:r w:rsidRPr="00C45DAA">
        <w:rPr>
          <w:rFonts w:eastAsia="Times New Roman" w:cs="Times New Roman"/>
          <w:szCs w:val="24"/>
          <w:lang w:eastAsia="ru-RU"/>
        </w:rPr>
        <w:t xml:space="preserve"> и о внесении изменений в отдельные законодательные акты Российской Федерации»;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проведение энергетических обследований зданий (помещений), в том числе арендованных;</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приобретение и внедрение инновационных технологий, оборудования и материалов (отопительного оборудования, узлов учета пользования газом, теплом, электроэнергией, электрооборудования). При этом в стоимость оборудования могут включаться расходы на транспортировку, установку, пусконаладочные работы и другие затраты, если это предусмотрено договором поставки.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10.Реализация мероприятия «Финансовая поддержка начинающих предпринимателей».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Финансовая поддержка предоставляется начинающим предпринимателям, осуществляющим социально-значимые виды деятельности в соответствии с утвержденным пунктом 7 раздела 1 настоящего Порядка (по ОКВЭД) перечнем социально-значимых видов деятельности Субъектов, в виде возмещения части затрат, связанных с началом предпринимательской деятельности: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расходы по государственной регистрации юридического лица и индивидуального предпринимателя;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24.07.2007 №209-ФЗ «О развитии малого и среднего предпринимательства в Российской Федерации»);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оплата коммунальных услуг нежилых помещений (горячее и холодное водоснабжение, канализация, обеспечение электроэнергией, поставка газа, отопление);</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приобретение основных средств (оборудование, оргтехника, мебель) для осуществления деятельности;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приобретение инвентаря (производственного назначения);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расходы на рекламу;</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выплаты по передаче прав на франшизу (паушальный взнос);</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ремонтные работы нежилых помещений, выполняемые при подготовке помещений к эксплуатации.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Коммунальные услуги, учитываемые в составе расходов, связанных с арендной (субарендой) нежилых помещений возмещению не подлежат.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11.По мероприятию «Развитие инновационного и молодежного предпринимательства».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Мероприятие включает в себя следующие направления: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11.</w:t>
      </w:r>
      <w:proofErr w:type="gramStart"/>
      <w:r w:rsidRPr="00C45DAA">
        <w:rPr>
          <w:rFonts w:eastAsia="Times New Roman" w:cs="Times New Roman"/>
          <w:szCs w:val="24"/>
          <w:lang w:eastAsia="ru-RU"/>
        </w:rPr>
        <w:t>1.Предоставление</w:t>
      </w:r>
      <w:proofErr w:type="gramEnd"/>
      <w:r w:rsidRPr="00C45DAA">
        <w:rPr>
          <w:rFonts w:eastAsia="Times New Roman" w:cs="Times New Roman"/>
          <w:szCs w:val="24"/>
          <w:lang w:eastAsia="ru-RU"/>
        </w:rPr>
        <w:t xml:space="preserve"> субсидии на финансовое обеспечение затрат, связанных с созданием и (или) обеспечением деятельности центров молодежного инновационного творчества (далее –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 xml:space="preserve">Предоставление субсидий на финансовое обеспечение затрат, связанных с созданием и (или) обеспечением деятельности ЦМИТ осуществляется на условиях долевого финансирования целевых расходов по приобретению высокотехнологичного оборудования, соответствующего критериям, утвержденным Приказом </w:t>
      </w:r>
      <w:proofErr w:type="spellStart"/>
      <w:r w:rsidRPr="00C45DAA">
        <w:rPr>
          <w:rFonts w:eastAsia="Times New Roman" w:cs="Times New Roman"/>
          <w:szCs w:val="24"/>
          <w:lang w:eastAsia="ru-RU"/>
        </w:rPr>
        <w:t>Минпромторга</w:t>
      </w:r>
      <w:proofErr w:type="spellEnd"/>
      <w:r w:rsidRPr="00C45DAA">
        <w:rPr>
          <w:rFonts w:eastAsia="Times New Roman" w:cs="Times New Roman"/>
          <w:szCs w:val="24"/>
          <w:lang w:eastAsia="ru-RU"/>
        </w:rPr>
        <w:t xml:space="preserve"> России от 01.11.2012 №1618 «Об утверждении критериев отнесения товаров, работ, услуг к инновационной продукции и (или) высокотехнологичной продукции по отраслям, относящимся к установленной сфере Министерства промышленности и торговли Российской Федерации».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Субсидии в целях финансового обеспечения затрат, связанных с созданием и (или) обеспечением деятельности ЦМИТ предоставляются Субъекту по результатам конкурсного отбора, оцениваемого комиссией по предоставлению субсидии, утвержденной администрацией города, (далее – конкурсный отбор Субъектов).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Обязательными условиями конкурсного отбора Субъектов являются: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а)наличие</w:t>
      </w:r>
      <w:proofErr w:type="gramEnd"/>
      <w:r w:rsidRPr="00C45DAA">
        <w:rPr>
          <w:rFonts w:eastAsia="Times New Roman" w:cs="Times New Roman"/>
          <w:szCs w:val="24"/>
          <w:lang w:eastAsia="ru-RU"/>
        </w:rPr>
        <w:t xml:space="preserve"> у Субъекта проекта создания и (или) обеспечения деятельности ЦМИТ, включающего в себя следующие разделы: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концепцию создания и (или) развития ЦМИТ в соответствии с подпунктом д) пункта 11.1 настоящего Порядка;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оценку потенциального спроса на услуги ЦМИТ (количество потенциальных клиентов);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организационный план;</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планировку помещений в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перечень оборудования, необходимого для функционирования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финансовый план проекта создания и (или) развития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поэтапный план реализации проекта создания и (или) развития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б)наличие</w:t>
      </w:r>
      <w:proofErr w:type="gramEnd"/>
      <w:r w:rsidRPr="00C45DAA">
        <w:rPr>
          <w:rFonts w:eastAsia="Times New Roman" w:cs="Times New Roman"/>
          <w:szCs w:val="24"/>
          <w:lang w:eastAsia="ru-RU"/>
        </w:rPr>
        <w:t xml:space="preserve"> сметы расходования средств субсидии регионального и муниципального бюджетов на финансирование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в)наличие</w:t>
      </w:r>
      <w:proofErr w:type="gramEnd"/>
      <w:r w:rsidRPr="00C45DAA">
        <w:rPr>
          <w:rFonts w:eastAsia="Times New Roman" w:cs="Times New Roman"/>
          <w:szCs w:val="24"/>
          <w:lang w:eastAsia="ru-RU"/>
        </w:rPr>
        <w:t xml:space="preserve"> информации о планируемых результатах деятельности ЦМИТ в соответствии с приложением 2 к настоящему Порядку;</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г)наличие</w:t>
      </w:r>
      <w:proofErr w:type="gramEnd"/>
      <w:r w:rsidRPr="00C45DAA">
        <w:rPr>
          <w:rFonts w:eastAsia="Times New Roman" w:cs="Times New Roman"/>
          <w:szCs w:val="24"/>
          <w:lang w:eastAsia="ru-RU"/>
        </w:rPr>
        <w:t xml:space="preserve"> документов, подтверждающих фактически произведенные расходы в целях создания и (или) развития ЦМИТ (на приобретение высокотехнологичного оборудования) в размере не менее 15% от размера заявленной суммы финансовой поддержки;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д)в</w:t>
      </w:r>
      <w:proofErr w:type="gramEnd"/>
      <w:r w:rsidRPr="00C45DAA">
        <w:rPr>
          <w:rFonts w:eastAsia="Times New Roman" w:cs="Times New Roman"/>
          <w:szCs w:val="24"/>
          <w:lang w:eastAsia="ru-RU"/>
        </w:rPr>
        <w:t xml:space="preserve"> концепции создания (развития) ЦМИТ или в учредительных документах должно быть отражено, что задачами ЦМИТ являются: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обеспечение доступа детей и молодежи к современному оборудованию цифрового производства для реализации, проверки и коммерциализации их инновационных идей;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поддержка инновационного творчества детей и молодежи, в том числе в целях профессиональной реализации и обеспечения </w:t>
      </w:r>
      <w:proofErr w:type="spellStart"/>
      <w:r w:rsidRPr="00C45DAA">
        <w:rPr>
          <w:rFonts w:eastAsia="Times New Roman" w:cs="Times New Roman"/>
          <w:szCs w:val="24"/>
          <w:lang w:eastAsia="ru-RU"/>
        </w:rPr>
        <w:t>самозанятости</w:t>
      </w:r>
      <w:proofErr w:type="spellEnd"/>
      <w:r w:rsidRPr="00C45DAA">
        <w:rPr>
          <w:rFonts w:eastAsia="Times New Roman" w:cs="Times New Roman"/>
          <w:szCs w:val="24"/>
          <w:lang w:eastAsia="ru-RU"/>
        </w:rPr>
        <w:t xml:space="preserve"> молодежи;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взаимодействие, обмен опытом с другими центрами молодежного инновационного творчества в автономном округе, Российской Федерации и за рубежом;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организация конференций, семинаров, рабочих встреч;</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формирование базы данных пользователей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реализация обучающих программ и мероприятий в целях освоения возможностей оборудования пользователями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proofErr w:type="gramStart"/>
      <w:r w:rsidRPr="00C45DAA">
        <w:rPr>
          <w:rFonts w:eastAsia="Times New Roman" w:cs="Times New Roman"/>
          <w:szCs w:val="24"/>
          <w:lang w:eastAsia="ru-RU"/>
        </w:rPr>
        <w:t>е)соответствие</w:t>
      </w:r>
      <w:proofErr w:type="gramEnd"/>
      <w:r w:rsidRPr="00C45DAA">
        <w:rPr>
          <w:rFonts w:eastAsia="Times New Roman" w:cs="Times New Roman"/>
          <w:szCs w:val="24"/>
          <w:lang w:eastAsia="ru-RU"/>
        </w:rPr>
        <w:t xml:space="preserve"> ЦМИТ следующим требованиям: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ориентирован на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предметом деятельности ЦМИТ является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загрузка оборудования ЦМИТ для детей и молодежи должна составлять не менее 60% от общего времени работы оборудования;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наличие собственных, арендованных или переданных в безвозмездное пользование помещений площадью не менее 40 кв. метров для размещения оборудования в ЦМИТ;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 xml:space="preserve">высокотехнологичное оборудование, необходимое для осуществления деятельности ЦМИТ должно иметь возможность 3D-проектирования и изготовления прототипов и изделий, проведения фрезерных, токарных, слесарных, паяльных, электромонтажных работ, соответствовать санитарно-техническим требованиям размещения и использования в помещении ЦМИТ, а </w:t>
      </w:r>
      <w:proofErr w:type="gramStart"/>
      <w:r w:rsidRPr="00C45DAA">
        <w:rPr>
          <w:rFonts w:eastAsia="Times New Roman" w:cs="Times New Roman"/>
          <w:szCs w:val="24"/>
          <w:lang w:eastAsia="ru-RU"/>
        </w:rPr>
        <w:t>так же</w:t>
      </w:r>
      <w:proofErr w:type="gramEnd"/>
      <w:r w:rsidRPr="00C45DAA">
        <w:rPr>
          <w:rFonts w:eastAsia="Times New Roman" w:cs="Times New Roman"/>
          <w:szCs w:val="24"/>
          <w:lang w:eastAsia="ru-RU"/>
        </w:rPr>
        <w:t xml:space="preserve"> требованиям безопасности для использования детьми;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наличие в штате не менее 2 (двух) специалистов, имеющих документальное подтверждение навыков владения оборудованием ЦМИТ (сертификаты, дипломы, свидетельства и прочие документы);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соответствие помещений ЦМИТ федеральным и региональным техническим требованиям по безопасности зданий и сооружений, а также возможность получения услуг ЦМИТ для всех групп населения;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наличие в штате не менее 1 (одного) специалиста с педагогическим образованием и опытом работы с детьми (документально подтвержденных выпиской из трудовой книжки и дипломом об образовании);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наличие доступа в помещениях ЦМИТ к информационно-телекоммуникационной сети Интернет.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11.</w:t>
      </w:r>
      <w:proofErr w:type="gramStart"/>
      <w:r w:rsidRPr="00C45DAA">
        <w:rPr>
          <w:rFonts w:eastAsia="Times New Roman" w:cs="Times New Roman"/>
          <w:szCs w:val="24"/>
          <w:lang w:eastAsia="ru-RU"/>
        </w:rPr>
        <w:t>2.Возмещение</w:t>
      </w:r>
      <w:proofErr w:type="gramEnd"/>
      <w:r w:rsidRPr="00C45DAA">
        <w:rPr>
          <w:rFonts w:eastAsia="Times New Roman" w:cs="Times New Roman"/>
          <w:szCs w:val="24"/>
          <w:lang w:eastAsia="ru-RU"/>
        </w:rPr>
        <w:t xml:space="preserve">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(далее - возмещение затрат инновационным компаниям).</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Право на возмещение затрат имеют следующие инновационные компании: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имеющие документы, подтверждающие права инновационной компании на результаты интеллектуальной деятельности, на основании которых реализуется инновационный проект;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зарегистрированные и состоящие на налоговом учете в городском округе город Мегион, деятельность которых заключается в практическом применении (внедрении) результатов интеллектуальной деятельности на территории городского округа город Мегион более 1 года на дату подачи документов на возмещение затрат;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Возмещению подлежат фактически произведенные и документально подтвержденные затраты инновационных компаний, произведенные в течение 12 (двенадцати) месяцев, предшествующих дате принятия заявления в размере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на территории городского округа город Мегион содержащихся в группировках ОКОФ (320 «Информационное, компьютерное и телекоммуникационное оборудование; 330 «Прочие машины и оборудование, включая хозяйственный инвентарь, и другие объекты»);</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аренду помещений, используемых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сертификацию и патентование, необходимые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11.</w:t>
      </w:r>
      <w:proofErr w:type="gramStart"/>
      <w:r w:rsidRPr="00C45DAA">
        <w:rPr>
          <w:rFonts w:eastAsia="Times New Roman" w:cs="Times New Roman"/>
          <w:szCs w:val="24"/>
          <w:lang w:eastAsia="ru-RU"/>
        </w:rPr>
        <w:t>3.Организация</w:t>
      </w:r>
      <w:proofErr w:type="gramEnd"/>
      <w:r w:rsidRPr="00C45DAA">
        <w:rPr>
          <w:rFonts w:eastAsia="Times New Roman" w:cs="Times New Roman"/>
          <w:szCs w:val="24"/>
          <w:lang w:eastAsia="ru-RU"/>
        </w:rPr>
        <w:t xml:space="preserve"> мероприятий, направленных на вовлечение молодежи в предпринимательскую деятельность.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Муниципальные образования автономного округа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осуществляют: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организацию мероприятий, направленных на вовлечение молодежи в предпринимательскую деятельность;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изготовление (приобретение) материальных запасов продукции, способствующей вовлечению молодежи в предпринимательскую деятельность.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При организации мероприятий, не допускаются расходы на:</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официальные приемы, в том числе: организацию завтрака, обеда, ужина, мероприятия в форме фуршет-приема, иного аналогичного мероприятия;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буфетное обслуживание, в том числе на кофе-паузу (кофе-брейк) и сервисное обслуживание буфетной продукции;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предоставление денежных премий (призов).».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1.</w:t>
      </w:r>
      <w:proofErr w:type="gramStart"/>
      <w:r w:rsidRPr="00C45DAA">
        <w:rPr>
          <w:rFonts w:eastAsia="Times New Roman" w:cs="Times New Roman"/>
          <w:szCs w:val="24"/>
          <w:lang w:eastAsia="ru-RU"/>
        </w:rPr>
        <w:t>3.После</w:t>
      </w:r>
      <w:proofErr w:type="gramEnd"/>
      <w:r w:rsidRPr="00C45DAA">
        <w:rPr>
          <w:rFonts w:eastAsia="Times New Roman" w:cs="Times New Roman"/>
          <w:szCs w:val="24"/>
          <w:lang w:eastAsia="ru-RU"/>
        </w:rPr>
        <w:t xml:space="preserve"> абзаца 5 пункта 2.6. раздела 2 приложения 1 к Программе дополнить абзацами следующего содержания: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«Соглашение (договор) с Субъектом о предоставлении финансовой поддержки в виде возмещения части затрат по приобретению оборудования должно содержать: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наименование и стоимость оборудования;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обязательство Субъекта об использовании по целевому назначению приобретенного оборудования, не продавать, не передавать в аренду или в пользование другим лицам в течение 2-х лет с даты получения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lastRenderedPageBreak/>
        <w:t>Субъект, в отношении которого муниципальным образованием принято решение о возмещении части затрат на приобретение объектов товаропроводящей сети, письменно обязуется: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использовать, по целевому назначению объекты (за которые будут возмещены затраты), не продавать, не передавать в аренду или в пользование другим лицам в течение 2 лет с даты получения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создать в течение шести месяцев с даты получения субсидии не менее 2 новых рабочих мест и сохранять их в течение 2 лет.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Субъект, в отношении которого муниципальным образованием принято решение о возмещении части затрат на приобретение технологического или торгового оборудования, письменно обязуется использовать, по целевому назначению оборудование (за которое ему будут возмещены затраты), не продавать, не передавать в аренду или в пользование другим лицам в течение 2 лет с даты получения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Обязательства Субъектов муниципальным образованием автономного округа включаются в текст договоров (соглашений) о предоставлении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Субъект по истечении 6 месяцев, 1 года и 2 лет со дня получения субсидии предоставляет в муниципальное образование отчет об исполнении принятых обязательств.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Форма отчета утверждается в договоре о предоставлении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Соглашение (договор) с Субъектами о предоставлении финансовой поддержки в виде возмещения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 должно содержать:</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обязательство Субъекта по обеспечению деятельности центров (групп) времяпрепровождения детей, в том числе кратковременного пребывания детей и дошкольных образовательных центров в течение 3 лет с даты получения субсидии;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обязательство Субъекта по обеспечению требований пожарной и санитарно-эпидемиологической безопасности.</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Муниципальное образование осуществляет контроль над исполнением, принятых субъектом обязательств.».</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2.Управлению информационной политики администрации города опубликовать постановление в газете «</w:t>
      </w:r>
      <w:proofErr w:type="spellStart"/>
      <w:r w:rsidRPr="00C45DAA">
        <w:rPr>
          <w:rFonts w:eastAsia="Times New Roman" w:cs="Times New Roman"/>
          <w:szCs w:val="24"/>
          <w:lang w:eastAsia="ru-RU"/>
        </w:rPr>
        <w:t>Мегионские</w:t>
      </w:r>
      <w:proofErr w:type="spellEnd"/>
      <w:r w:rsidRPr="00C45DAA">
        <w:rPr>
          <w:rFonts w:eastAsia="Times New Roman" w:cs="Times New Roman"/>
          <w:szCs w:val="24"/>
          <w:lang w:eastAsia="ru-RU"/>
        </w:rPr>
        <w:t xml:space="preserve"> новости» и разместить на официальном сайте администрации города в сети «Интернет».</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3.Настоящее постановление вступает в силу после его официального опубликования.</w:t>
      </w:r>
    </w:p>
    <w:p w:rsidR="00C45DAA" w:rsidRPr="00C45DAA" w:rsidRDefault="00C45DAA" w:rsidP="00C45DAA">
      <w:pPr>
        <w:shd w:val="clear" w:color="auto" w:fill="FFFFFF"/>
        <w:spacing w:before="360" w:after="360" w:line="240" w:lineRule="auto"/>
        <w:rPr>
          <w:rFonts w:eastAsia="Times New Roman" w:cs="Times New Roman"/>
          <w:szCs w:val="24"/>
          <w:lang w:eastAsia="ru-RU"/>
        </w:rPr>
      </w:pPr>
      <w:r w:rsidRPr="00C45DAA">
        <w:rPr>
          <w:rFonts w:eastAsia="Times New Roman" w:cs="Times New Roman"/>
          <w:szCs w:val="24"/>
          <w:lang w:eastAsia="ru-RU"/>
        </w:rPr>
        <w:t>4.Контроль за выполнением постановления возложить на директора департамента экономического развития и инвестиций администрации города.</w:t>
      </w:r>
    </w:p>
    <w:p w:rsidR="00C45DAA" w:rsidRPr="00C45DAA" w:rsidRDefault="00C45DAA" w:rsidP="00C45DAA">
      <w:pPr>
        <w:shd w:val="clear" w:color="auto" w:fill="FFFFFF"/>
        <w:spacing w:after="0" w:line="240" w:lineRule="auto"/>
        <w:rPr>
          <w:rFonts w:eastAsia="Times New Roman" w:cs="Times New Roman"/>
          <w:szCs w:val="24"/>
          <w:lang w:eastAsia="ru-RU"/>
        </w:rPr>
      </w:pPr>
      <w:r w:rsidRPr="00C45DAA">
        <w:rPr>
          <w:rFonts w:eastAsia="Times New Roman" w:cs="Times New Roman"/>
          <w:szCs w:val="24"/>
          <w:lang w:eastAsia="ru-RU"/>
        </w:rPr>
        <w:lastRenderedPageBreak/>
        <w:t xml:space="preserve">Глава города </w:t>
      </w:r>
      <w:r>
        <w:rPr>
          <w:rFonts w:eastAsia="Times New Roman" w:cs="Times New Roman"/>
          <w:szCs w:val="24"/>
          <w:lang w:eastAsia="ru-RU"/>
        </w:rPr>
        <w:br/>
      </w:r>
      <w:proofErr w:type="spellStart"/>
      <w:r w:rsidRPr="00C45DAA">
        <w:rPr>
          <w:rFonts w:eastAsia="Times New Roman" w:cs="Times New Roman"/>
          <w:szCs w:val="24"/>
          <w:lang w:eastAsia="ru-RU"/>
        </w:rPr>
        <w:t>О.А.Дейнека</w:t>
      </w:r>
      <w:proofErr w:type="spellEnd"/>
    </w:p>
    <w:p w:rsidR="00CB289F" w:rsidRPr="00C45DAA" w:rsidRDefault="00CB289F">
      <w:pPr>
        <w:rPr>
          <w:rFonts w:cs="Times New Roman"/>
          <w:szCs w:val="24"/>
        </w:rPr>
      </w:pPr>
    </w:p>
    <w:sectPr w:rsidR="00CB289F" w:rsidRPr="00C4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5B8"/>
    <w:multiLevelType w:val="multilevel"/>
    <w:tmpl w:val="CDB2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A"/>
    <w:rsid w:val="00033649"/>
    <w:rsid w:val="00077A11"/>
    <w:rsid w:val="002C6B8B"/>
    <w:rsid w:val="00412E62"/>
    <w:rsid w:val="00827C04"/>
    <w:rsid w:val="00A66B00"/>
    <w:rsid w:val="00AD31A7"/>
    <w:rsid w:val="00BE21D5"/>
    <w:rsid w:val="00C45DAA"/>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7822"/>
  <w15:chartTrackingRefBased/>
  <w15:docId w15:val="{19390308-C657-4FAC-B894-50664430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333333"/>
        <w:sz w:val="24"/>
        <w:szCs w:val="23"/>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8B"/>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character" w:customStyle="1" w:styleId="linkdesc">
    <w:name w:val="link_desc"/>
    <w:basedOn w:val="a0"/>
    <w:rsid w:val="00C45DAA"/>
  </w:style>
  <w:style w:type="character" w:styleId="a5">
    <w:name w:val="Hyperlink"/>
    <w:basedOn w:val="a0"/>
    <w:uiPriority w:val="99"/>
    <w:semiHidden/>
    <w:unhideWhenUsed/>
    <w:rsid w:val="00C45DAA"/>
    <w:rPr>
      <w:color w:val="0000FF"/>
      <w:u w:val="single"/>
    </w:rPr>
  </w:style>
  <w:style w:type="character" w:customStyle="1" w:styleId="linktitle">
    <w:name w:val="link_title"/>
    <w:basedOn w:val="a0"/>
    <w:rsid w:val="00C45DAA"/>
  </w:style>
  <w:style w:type="paragraph" w:styleId="a6">
    <w:name w:val="Normal (Web)"/>
    <w:basedOn w:val="a"/>
    <w:uiPriority w:val="99"/>
    <w:semiHidden/>
    <w:unhideWhenUsed/>
    <w:rsid w:val="00C45DAA"/>
    <w:pPr>
      <w:spacing w:before="100" w:beforeAutospacing="1" w:after="100" w:afterAutospacing="1" w:line="240" w:lineRule="auto"/>
    </w:pPr>
    <w:rPr>
      <w:rFonts w:eastAsia="Times New Roman" w:cs="Times New Roman"/>
      <w:color w:val="auto"/>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4236">
      <w:bodyDiv w:val="1"/>
      <w:marLeft w:val="0"/>
      <w:marRight w:val="0"/>
      <w:marTop w:val="0"/>
      <w:marBottom w:val="0"/>
      <w:divBdr>
        <w:top w:val="none" w:sz="0" w:space="0" w:color="auto"/>
        <w:left w:val="none" w:sz="0" w:space="0" w:color="auto"/>
        <w:bottom w:val="none" w:sz="0" w:space="0" w:color="auto"/>
        <w:right w:val="none" w:sz="0" w:space="0" w:color="auto"/>
      </w:divBdr>
      <w:divsChild>
        <w:div w:id="747073283">
          <w:marLeft w:val="0"/>
          <w:marRight w:val="0"/>
          <w:marTop w:val="0"/>
          <w:marBottom w:val="0"/>
          <w:divBdr>
            <w:top w:val="none" w:sz="0" w:space="0" w:color="auto"/>
            <w:left w:val="none" w:sz="0" w:space="0" w:color="auto"/>
            <w:bottom w:val="none" w:sz="0" w:space="0" w:color="auto"/>
            <w:right w:val="none" w:sz="0" w:space="0" w:color="auto"/>
          </w:divBdr>
        </w:div>
        <w:div w:id="196116463">
          <w:marLeft w:val="0"/>
          <w:marRight w:val="0"/>
          <w:marTop w:val="0"/>
          <w:marBottom w:val="0"/>
          <w:divBdr>
            <w:top w:val="single" w:sz="6" w:space="0" w:color="CCCCCC"/>
            <w:left w:val="single" w:sz="6" w:space="0" w:color="CCCCCC"/>
            <w:bottom w:val="single" w:sz="6" w:space="0" w:color="CCCCCC"/>
            <w:right w:val="single" w:sz="6" w:space="0" w:color="CCCCCC"/>
          </w:divBdr>
          <w:divsChild>
            <w:div w:id="20735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960">
      <w:bodyDiv w:val="1"/>
      <w:marLeft w:val="0"/>
      <w:marRight w:val="0"/>
      <w:marTop w:val="0"/>
      <w:marBottom w:val="0"/>
      <w:divBdr>
        <w:top w:val="none" w:sz="0" w:space="0" w:color="auto"/>
        <w:left w:val="none" w:sz="0" w:space="0" w:color="auto"/>
        <w:bottom w:val="none" w:sz="0" w:space="0" w:color="auto"/>
        <w:right w:val="none" w:sz="0" w:space="0" w:color="auto"/>
      </w:divBdr>
      <w:divsChild>
        <w:div w:id="1329484367">
          <w:marLeft w:val="0"/>
          <w:marRight w:val="0"/>
          <w:marTop w:val="0"/>
          <w:marBottom w:val="0"/>
          <w:divBdr>
            <w:top w:val="none" w:sz="0" w:space="0" w:color="auto"/>
            <w:left w:val="none" w:sz="0" w:space="0" w:color="auto"/>
            <w:bottom w:val="none" w:sz="0" w:space="0" w:color="auto"/>
            <w:right w:val="none" w:sz="0" w:space="0" w:color="auto"/>
          </w:divBdr>
        </w:div>
        <w:div w:id="2143620542">
          <w:marLeft w:val="0"/>
          <w:marRight w:val="0"/>
          <w:marTop w:val="0"/>
          <w:marBottom w:val="0"/>
          <w:divBdr>
            <w:top w:val="single" w:sz="6" w:space="0" w:color="CCCCCC"/>
            <w:left w:val="single" w:sz="6" w:space="0" w:color="CCCCCC"/>
            <w:bottom w:val="single" w:sz="6" w:space="0" w:color="CCCCCC"/>
            <w:right w:val="single" w:sz="6" w:space="0" w:color="CCCCCC"/>
          </w:divBdr>
          <w:divsChild>
            <w:div w:id="11391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ort-ugra.ru/" TargetMode="External"/><Relationship Id="rId5" Type="http://schemas.openxmlformats.org/officeDocument/2006/relationships/hyperlink" Target="https://corpm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4607</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3</cp:revision>
  <dcterms:created xsi:type="dcterms:W3CDTF">2022-10-21T09:50:00Z</dcterms:created>
  <dcterms:modified xsi:type="dcterms:W3CDTF">2022-10-21T09:52:00Z</dcterms:modified>
</cp:coreProperties>
</file>