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Pr="002A1F56" w:rsidRDefault="00E05262" w:rsidP="006E6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Pr="00976C4C">
        <w:rPr>
          <w:rFonts w:ascii="Times New Roman" w:hAnsi="Times New Roman" w:cs="Times New Roman"/>
          <w:bCs/>
          <w:sz w:val="24"/>
          <w:szCs w:val="24"/>
        </w:rPr>
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городском округе город Мегион на 2019</w:t>
      </w:r>
      <w:r w:rsidRPr="00976C4C">
        <w:rPr>
          <w:rFonts w:ascii="Times New Roman" w:hAnsi="Times New Roman" w:cs="Times New Roman"/>
          <w:sz w:val="24"/>
          <w:szCs w:val="24"/>
        </w:rPr>
        <w:t>–</w:t>
      </w:r>
      <w:r w:rsidRPr="00976C4C">
        <w:rPr>
          <w:rFonts w:ascii="Times New Roman" w:hAnsi="Times New Roman" w:cs="Times New Roman"/>
          <w:bCs/>
          <w:sz w:val="24"/>
          <w:szCs w:val="24"/>
        </w:rPr>
        <w:t>2025 годы» в 2019 году</w:t>
      </w:r>
    </w:p>
    <w:p w:rsidR="00976C4C" w:rsidRPr="00976C4C" w:rsidRDefault="00976C4C" w:rsidP="0097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B9" w:rsidRDefault="00976C4C" w:rsidP="009F4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 </w:t>
      </w:r>
      <w:r w:rsidRPr="00976C4C">
        <w:rPr>
          <w:rFonts w:ascii="Times New Roman" w:hAnsi="Times New Roman" w:cs="Times New Roman"/>
          <w:bCs/>
          <w:sz w:val="24"/>
          <w:szCs w:val="24"/>
        </w:rPr>
        <w:t xml:space="preserve">«Профилактика правонарушений в сфере общественного порядка, безопасности дорожного движения, незаконного оборота и </w:t>
      </w:r>
      <w:r w:rsidRPr="009F4FB9">
        <w:rPr>
          <w:rFonts w:ascii="Times New Roman" w:hAnsi="Times New Roman" w:cs="Times New Roman"/>
          <w:bCs/>
          <w:sz w:val="24"/>
          <w:szCs w:val="24"/>
        </w:rPr>
        <w:t>злоупотребления наркотиками в городском округе город Мегион на 2019</w:t>
      </w:r>
      <w:r w:rsidRPr="009F4FB9">
        <w:rPr>
          <w:rFonts w:ascii="Times New Roman" w:hAnsi="Times New Roman" w:cs="Times New Roman"/>
          <w:sz w:val="24"/>
          <w:szCs w:val="24"/>
        </w:rPr>
        <w:t>–</w:t>
      </w:r>
      <w:r w:rsidRPr="009F4FB9">
        <w:rPr>
          <w:rFonts w:ascii="Times New Roman" w:hAnsi="Times New Roman" w:cs="Times New Roman"/>
          <w:bCs/>
          <w:sz w:val="24"/>
          <w:szCs w:val="24"/>
        </w:rPr>
        <w:t>2025 годы» утверждена постановлением администрации города от 20.12.2018 №2777</w:t>
      </w:r>
      <w:r w:rsidR="009F4FB9"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Муниципальная программа).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B9">
        <w:rPr>
          <w:rFonts w:ascii="Times New Roman" w:hAnsi="Times New Roman" w:cs="Times New Roman"/>
          <w:sz w:val="24"/>
          <w:szCs w:val="24"/>
        </w:rPr>
        <w:t xml:space="preserve">Координатором Программы является Отдел взаимодействия с правоохранительными органами администрации города. 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FB9">
        <w:rPr>
          <w:rFonts w:ascii="Times New Roman" w:hAnsi="Times New Roman" w:cs="Times New Roman"/>
          <w:bCs/>
          <w:sz w:val="24"/>
          <w:szCs w:val="24"/>
        </w:rPr>
        <w:t xml:space="preserve">В рамках программы реализуются </w:t>
      </w:r>
      <w:r w:rsidR="00627A07">
        <w:rPr>
          <w:rFonts w:ascii="Times New Roman" w:hAnsi="Times New Roman" w:cs="Times New Roman"/>
          <w:bCs/>
          <w:sz w:val="24"/>
          <w:szCs w:val="24"/>
        </w:rPr>
        <w:t>3</w:t>
      </w:r>
      <w:r w:rsidRPr="009F4FB9">
        <w:rPr>
          <w:rFonts w:ascii="Times New Roman" w:hAnsi="Times New Roman" w:cs="Times New Roman"/>
          <w:bCs/>
          <w:sz w:val="24"/>
          <w:szCs w:val="24"/>
        </w:rPr>
        <w:t xml:space="preserve"> подпрограммы: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FB9">
        <w:rPr>
          <w:rFonts w:ascii="Times New Roman" w:hAnsi="Times New Roman" w:cs="Times New Roman"/>
          <w:sz w:val="24"/>
          <w:szCs w:val="24"/>
        </w:rPr>
        <w:t>1.«Профилактика правонарушений»</w:t>
      </w:r>
      <w:r w:rsidRPr="009F4FB9">
        <w:rPr>
          <w:rFonts w:ascii="Times New Roman" w:hAnsi="Times New Roman" w:cs="Times New Roman"/>
          <w:bCs/>
          <w:sz w:val="24"/>
          <w:szCs w:val="24"/>
        </w:rPr>
        <w:t>;</w:t>
      </w:r>
    </w:p>
    <w:p w:rsidR="00627A07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B9">
        <w:rPr>
          <w:rFonts w:ascii="Times New Roman" w:hAnsi="Times New Roman" w:cs="Times New Roman"/>
          <w:sz w:val="24"/>
          <w:szCs w:val="24"/>
        </w:rPr>
        <w:t>2.«Профилактика незаконного оборота и потребления наркотических средств и психотропных веществ»</w:t>
      </w:r>
      <w:r w:rsidR="00627A07">
        <w:rPr>
          <w:rFonts w:ascii="Times New Roman" w:hAnsi="Times New Roman" w:cs="Times New Roman"/>
          <w:sz w:val="24"/>
          <w:szCs w:val="24"/>
        </w:rPr>
        <w:t>;</w:t>
      </w:r>
    </w:p>
    <w:p w:rsidR="00AA649D" w:rsidRPr="009F4FB9" w:rsidRDefault="00627A07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E71E6">
        <w:rPr>
          <w:rFonts w:ascii="Times New Roman" w:hAnsi="Times New Roman" w:cs="Times New Roman"/>
          <w:sz w:val="24"/>
          <w:szCs w:val="24"/>
        </w:rPr>
        <w:t>«Обеспечение защиты прав потребителей»</w:t>
      </w:r>
      <w:r w:rsidR="00AA649D" w:rsidRPr="009F4FB9">
        <w:rPr>
          <w:rFonts w:ascii="Times New Roman" w:hAnsi="Times New Roman" w:cs="Times New Roman"/>
          <w:bCs/>
          <w:sz w:val="24"/>
          <w:szCs w:val="24"/>
        </w:rPr>
        <w:t>.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4FB9">
        <w:rPr>
          <w:rFonts w:ascii="Times New Roman" w:hAnsi="Times New Roman" w:cs="Times New Roman"/>
          <w:bCs/>
          <w:sz w:val="24"/>
          <w:szCs w:val="24"/>
        </w:rPr>
        <w:t xml:space="preserve">Финансирование мероприятий программы осуществляется за счет средств бюджета городского округа Мегион, а также за счет средств бюджета Ханты-Мансийского автономного округа – Югры государственной программы </w:t>
      </w:r>
      <w:r w:rsidRPr="009F4FB9">
        <w:rPr>
          <w:rFonts w:ascii="Times New Roman" w:hAnsi="Times New Roman" w:cs="Times New Roman"/>
          <w:color w:val="000000"/>
          <w:sz w:val="24"/>
          <w:szCs w:val="24"/>
        </w:rPr>
        <w:t xml:space="preserve">«Профилактика правонарушений и обеспечение отдельных прав граждан», утвержденной постановлением Правительства Ханты-Мансийского автономного округа-Югры от 05.10.2018 № 348-п, в рамках соглашения </w:t>
      </w:r>
      <w:r w:rsidRPr="009F4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предоставлении субсидии местному бюджету из бюджета </w:t>
      </w:r>
      <w:r w:rsidRPr="009F4FB9">
        <w:rPr>
          <w:rFonts w:ascii="Times New Roman" w:hAnsi="Times New Roman" w:cs="Times New Roman"/>
          <w:bCs/>
          <w:color w:val="000000"/>
          <w:sz w:val="24"/>
          <w:szCs w:val="24"/>
        </w:rPr>
        <w:br/>
        <w:t>Ханты-Мансийского автономного округа – Югры от 25.03.2019 №19</w:t>
      </w:r>
      <w:r w:rsidRPr="009F4FB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A649D" w:rsidRPr="009F4FB9" w:rsidRDefault="00AA649D" w:rsidP="00AA6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B9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2019 год  - 604,3 тыс. рублей, в том числе: 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B9">
        <w:rPr>
          <w:rFonts w:ascii="Times New Roman" w:hAnsi="Times New Roman" w:cs="Times New Roman"/>
          <w:sz w:val="24"/>
          <w:szCs w:val="24"/>
        </w:rPr>
        <w:t>47,0 тыс. рублей – бюджет Ханты-Мансийского автономного округа – Югры,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B9">
        <w:rPr>
          <w:rFonts w:ascii="Times New Roman" w:hAnsi="Times New Roman" w:cs="Times New Roman"/>
          <w:sz w:val="24"/>
          <w:szCs w:val="24"/>
        </w:rPr>
        <w:t>557,3 тыс. рублей – бюджет городского округа город Мегион.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B9">
        <w:rPr>
          <w:rFonts w:ascii="Times New Roman" w:hAnsi="Times New Roman" w:cs="Times New Roman"/>
          <w:sz w:val="24"/>
          <w:szCs w:val="24"/>
        </w:rPr>
        <w:t>Кассовое исполнение в 2019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4FB9">
        <w:rPr>
          <w:rFonts w:ascii="Times New Roman" w:hAnsi="Times New Roman" w:cs="Times New Roman"/>
          <w:sz w:val="24"/>
          <w:szCs w:val="24"/>
        </w:rPr>
        <w:t xml:space="preserve"> составило 398,28 тыс. рублей (65,91%), в том числе: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B9">
        <w:rPr>
          <w:rFonts w:ascii="Times New Roman" w:hAnsi="Times New Roman" w:cs="Times New Roman"/>
          <w:sz w:val="24"/>
          <w:szCs w:val="24"/>
        </w:rPr>
        <w:t>47,0 тыс. рублей (100%) – бюджет Ханты-Мансийского автономного округа – Югры,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B9">
        <w:rPr>
          <w:rFonts w:ascii="Times New Roman" w:hAnsi="Times New Roman" w:cs="Times New Roman"/>
          <w:sz w:val="24"/>
          <w:szCs w:val="24"/>
        </w:rPr>
        <w:t>351,28 тыс. рублей (63,03%) – бюджет городского округа город Мегион.</w:t>
      </w:r>
    </w:p>
    <w:p w:rsidR="00976C4C" w:rsidRPr="009F4FB9" w:rsidRDefault="0065059E" w:rsidP="00650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76C4C" w:rsidRPr="009F4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программных мероприятий в разрезе источников 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в таблице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C4C" w:rsidRDefault="00591591" w:rsidP="0059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591591" w:rsidRDefault="00591591" w:rsidP="0059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91" w:rsidRDefault="00591591" w:rsidP="0059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9F4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программных мероприятий в разрезе источников финансирования</w:t>
      </w:r>
    </w:p>
    <w:p w:rsidR="00EE750A" w:rsidRPr="009F4FB9" w:rsidRDefault="00EE750A" w:rsidP="0059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302"/>
        <w:gridCol w:w="1984"/>
        <w:gridCol w:w="1984"/>
        <w:gridCol w:w="895"/>
        <w:gridCol w:w="851"/>
        <w:gridCol w:w="904"/>
      </w:tblGrid>
      <w:tr w:rsidR="00591591" w:rsidRPr="00042909" w:rsidTr="006C622C">
        <w:trPr>
          <w:trHeight w:val="982"/>
        </w:trPr>
        <w:tc>
          <w:tcPr>
            <w:tcW w:w="724" w:type="dxa"/>
            <w:vMerge w:val="restart"/>
            <w:vAlign w:val="center"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02" w:type="dxa"/>
            <w:vMerge w:val="restart"/>
            <w:vAlign w:val="center"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591591" w:rsidRPr="00042909" w:rsidRDefault="00591591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vAlign w:val="center"/>
          </w:tcPr>
          <w:p w:rsidR="00591591" w:rsidRPr="00042909" w:rsidRDefault="00591591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591591" w:rsidRPr="00042909" w:rsidTr="006C622C">
        <w:trPr>
          <w:trHeight w:val="450"/>
        </w:trPr>
        <w:tc>
          <w:tcPr>
            <w:tcW w:w="724" w:type="dxa"/>
            <w:vMerge/>
            <w:vAlign w:val="center"/>
          </w:tcPr>
          <w:p w:rsidR="00591591" w:rsidRPr="00042909" w:rsidRDefault="00591591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591591" w:rsidRPr="00042909" w:rsidRDefault="00591591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91591" w:rsidRPr="00042909" w:rsidRDefault="00591591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91591" w:rsidRPr="00042909" w:rsidRDefault="00591591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1591" w:rsidRPr="00042909" w:rsidRDefault="00591591" w:rsidP="00EE71E6">
            <w:pPr>
              <w:spacing w:after="0" w:line="240" w:lineRule="auto"/>
              <w:ind w:left="-109"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1591" w:rsidRPr="00042909" w:rsidTr="006C622C">
        <w:trPr>
          <w:trHeight w:val="25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000000" w:fill="FFFFFF"/>
            <w:vAlign w:val="center"/>
            <w:hideMark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91591" w:rsidRPr="00042909" w:rsidTr="006C622C">
        <w:trPr>
          <w:trHeight w:val="601"/>
        </w:trPr>
        <w:tc>
          <w:tcPr>
            <w:tcW w:w="9644" w:type="dxa"/>
            <w:gridSpan w:val="7"/>
            <w:shd w:val="clear" w:color="000000" w:fill="FFFFFF"/>
            <w:vAlign w:val="center"/>
          </w:tcPr>
          <w:p w:rsidR="00591591" w:rsidRPr="00042909" w:rsidRDefault="00591591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(Профилактика правонарушений)</w:t>
            </w:r>
          </w:p>
        </w:tc>
      </w:tr>
      <w:tr w:rsidR="002F26FF" w:rsidRPr="00042909" w:rsidTr="006C622C">
        <w:trPr>
          <w:trHeight w:val="31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деятельности </w:t>
            </w: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народных дружин </w:t>
            </w:r>
          </w:p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(показатели 1,6)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(показатель 2)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гражданской защиты населения"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213,5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23,18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213,5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23,18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и развития систем видеонаблюдения в сфере общественного порядка </w:t>
            </w:r>
          </w:p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(показатели 1,6)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"Управление гражданской защиты населения"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66,02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66,02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 в сфере  профилактики правонарушений (показатель 3)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49,99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99,98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49,99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99,98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профилактике правонарушений среди несовершеннолетних </w:t>
            </w: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(показатель 4)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 Мегиона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 w:val="restart"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02" w:type="dxa"/>
            <w:vMerge w:val="restart"/>
          </w:tcPr>
          <w:p w:rsidR="002F26FF" w:rsidRPr="002F26FF" w:rsidRDefault="002F26FF" w:rsidP="002F26F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некоммерческим организациям, осуществляющим деятельность в </w:t>
            </w: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профилактики правонарушений, в том числе по социальной адаптации, 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(показатели 1,6)</w:t>
            </w:r>
          </w:p>
        </w:tc>
        <w:tc>
          <w:tcPr>
            <w:tcW w:w="1984" w:type="dxa"/>
            <w:vMerge w:val="restart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взаимодействия с правоохранительными органами администрации </w:t>
            </w: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города, Управление информационной политики 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2" w:type="dxa"/>
            <w:vMerge w:val="restart"/>
            <w:shd w:val="clear" w:color="000000" w:fill="FFFFFF"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1: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454,3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248,28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54,65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201,28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49,42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2F26FF" w:rsidRDefault="002F26FF" w:rsidP="002F2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86"/>
        </w:trPr>
        <w:tc>
          <w:tcPr>
            <w:tcW w:w="9644" w:type="dxa"/>
            <w:gridSpan w:val="7"/>
            <w:vAlign w:val="center"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Подпрограмма 2 (Профилактика незаконного оборота и потребления наркотических средств и психотропных веществ)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профилактической антинаркотической деятельности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 и другие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6FF" w:rsidRPr="00042909" w:rsidTr="006C622C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34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2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подпрограмме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9644" w:type="dxa"/>
            <w:gridSpan w:val="7"/>
            <w:vAlign w:val="center"/>
          </w:tcPr>
          <w:p w:rsidR="002F26FF" w:rsidRPr="00EE71E6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«Обеспечение защиты прав потребителей»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 w:val="restart"/>
            <w:vAlign w:val="center"/>
          </w:tcPr>
          <w:p w:rsidR="002F26FF" w:rsidRPr="002F26FF" w:rsidRDefault="002F26FF" w:rsidP="00BE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02" w:type="dxa"/>
            <w:vMerge w:val="restart"/>
          </w:tcPr>
          <w:p w:rsidR="002F26FF" w:rsidRPr="002F26FF" w:rsidRDefault="002F26FF" w:rsidP="00BE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 в сфере защиты прав потребителей</w:t>
            </w:r>
          </w:p>
          <w:p w:rsidR="002F26FF" w:rsidRPr="002F26FF" w:rsidRDefault="002F26FF" w:rsidP="00BE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(Показатель 7)</w:t>
            </w:r>
          </w:p>
        </w:tc>
        <w:tc>
          <w:tcPr>
            <w:tcW w:w="1984" w:type="dxa"/>
            <w:vMerge w:val="restart"/>
            <w:vAlign w:val="center"/>
          </w:tcPr>
          <w:p w:rsidR="002F26FF" w:rsidRPr="002F26FF" w:rsidRDefault="002F26FF" w:rsidP="00BE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BE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121CF1" w:rsidRDefault="002F26FF" w:rsidP="00BE2F61"/>
        </w:tc>
        <w:tc>
          <w:tcPr>
            <w:tcW w:w="2302" w:type="dxa"/>
            <w:vMerge/>
            <w:vAlign w:val="center"/>
          </w:tcPr>
          <w:p w:rsidR="002F26FF" w:rsidRPr="00121CF1" w:rsidRDefault="002F26FF" w:rsidP="00BE2F61"/>
        </w:tc>
        <w:tc>
          <w:tcPr>
            <w:tcW w:w="1984" w:type="dxa"/>
            <w:vMerge/>
            <w:vAlign w:val="center"/>
          </w:tcPr>
          <w:p w:rsidR="002F26FF" w:rsidRPr="00121CF1" w:rsidRDefault="002F26FF" w:rsidP="00BE2F61"/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BE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121CF1" w:rsidRDefault="002F26FF" w:rsidP="00BE2F61"/>
        </w:tc>
        <w:tc>
          <w:tcPr>
            <w:tcW w:w="2302" w:type="dxa"/>
            <w:vMerge/>
            <w:vAlign w:val="center"/>
          </w:tcPr>
          <w:p w:rsidR="002F26FF" w:rsidRPr="00121CF1" w:rsidRDefault="002F26FF" w:rsidP="00BE2F61"/>
        </w:tc>
        <w:tc>
          <w:tcPr>
            <w:tcW w:w="1984" w:type="dxa"/>
            <w:vMerge/>
            <w:vAlign w:val="center"/>
          </w:tcPr>
          <w:p w:rsidR="002F26FF" w:rsidRPr="00121CF1" w:rsidRDefault="002F26FF" w:rsidP="00BE2F61"/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BE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121CF1" w:rsidRDefault="002F26FF" w:rsidP="00BE2F61"/>
        </w:tc>
        <w:tc>
          <w:tcPr>
            <w:tcW w:w="2302" w:type="dxa"/>
            <w:vMerge/>
            <w:vAlign w:val="center"/>
          </w:tcPr>
          <w:p w:rsidR="002F26FF" w:rsidRPr="00121CF1" w:rsidRDefault="002F26FF" w:rsidP="00BE2F61"/>
        </w:tc>
        <w:tc>
          <w:tcPr>
            <w:tcW w:w="1984" w:type="dxa"/>
            <w:vMerge/>
            <w:vAlign w:val="center"/>
          </w:tcPr>
          <w:p w:rsidR="002F26FF" w:rsidRPr="00121CF1" w:rsidRDefault="002F26FF" w:rsidP="00BE2F61"/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BE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121CF1" w:rsidRDefault="002F26FF" w:rsidP="00BE2F61"/>
        </w:tc>
        <w:tc>
          <w:tcPr>
            <w:tcW w:w="2302" w:type="dxa"/>
            <w:vMerge/>
            <w:vAlign w:val="center"/>
          </w:tcPr>
          <w:p w:rsidR="002F26FF" w:rsidRPr="00121CF1" w:rsidRDefault="002F26FF" w:rsidP="00BE2F61"/>
        </w:tc>
        <w:tc>
          <w:tcPr>
            <w:tcW w:w="1984" w:type="dxa"/>
            <w:vMerge/>
            <w:vAlign w:val="center"/>
          </w:tcPr>
          <w:p w:rsidR="002F26FF" w:rsidRPr="00121CF1" w:rsidRDefault="002F26FF" w:rsidP="00BE2F61"/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BE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 w:val="restart"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подпрограмме 3:</w:t>
            </w:r>
          </w:p>
        </w:tc>
        <w:tc>
          <w:tcPr>
            <w:tcW w:w="1984" w:type="dxa"/>
            <w:vMerge w:val="restart"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BE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BE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BE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BE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26FF" w:rsidRPr="002F26FF" w:rsidRDefault="002F26FF" w:rsidP="00BE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26FF" w:rsidRPr="002F26FF" w:rsidRDefault="002F26FF" w:rsidP="00BE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255"/>
        </w:trPr>
        <w:tc>
          <w:tcPr>
            <w:tcW w:w="3026" w:type="dxa"/>
            <w:gridSpan w:val="2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604,3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398,28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65,91</w:t>
            </w:r>
          </w:p>
        </w:tc>
      </w:tr>
      <w:tr w:rsidR="002F26FF" w:rsidRPr="00042909" w:rsidTr="006C622C">
        <w:trPr>
          <w:trHeight w:val="255"/>
        </w:trPr>
        <w:tc>
          <w:tcPr>
            <w:tcW w:w="3026" w:type="dxa"/>
            <w:gridSpan w:val="2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6FF" w:rsidRPr="00042909" w:rsidTr="006C622C">
        <w:trPr>
          <w:trHeight w:val="510"/>
        </w:trPr>
        <w:tc>
          <w:tcPr>
            <w:tcW w:w="3026" w:type="dxa"/>
            <w:gridSpan w:val="2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6FF" w:rsidRPr="00042909" w:rsidTr="006C622C">
        <w:trPr>
          <w:trHeight w:val="255"/>
        </w:trPr>
        <w:tc>
          <w:tcPr>
            <w:tcW w:w="3026" w:type="dxa"/>
            <w:gridSpan w:val="2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557,3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351,28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63,03</w:t>
            </w:r>
          </w:p>
        </w:tc>
      </w:tr>
      <w:tr w:rsidR="002F26FF" w:rsidRPr="00042909" w:rsidTr="006C622C">
        <w:trPr>
          <w:trHeight w:val="510"/>
        </w:trPr>
        <w:tc>
          <w:tcPr>
            <w:tcW w:w="3026" w:type="dxa"/>
            <w:gridSpan w:val="2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2F26FF" w:rsidRPr="00042909" w:rsidRDefault="002F26FF" w:rsidP="00EE7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76C4C" w:rsidRPr="009F4FB9" w:rsidRDefault="00976C4C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0A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2019 году Муниципальная программа корректировалась в соответствии с решениями Думы города Мегиона о бюджете в части изменения плановых назначений лимитов бюджетных ассигнований на реализацию основных мероприятий подпрограммы 1 «Профилактика правонарушений». В частности, постановлениями администрации города  </w:t>
      </w:r>
      <w:r w:rsidRPr="009F4FB9">
        <w:rPr>
          <w:rFonts w:ascii="Times New Roman" w:hAnsi="Times New Roman" w:cs="Times New Roman"/>
          <w:bCs/>
          <w:sz w:val="24"/>
          <w:szCs w:val="24"/>
        </w:rPr>
        <w:t>от 29.03.2019 №592, от 01.11.2019 №2309, от 06.12.2019 №2708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были внесены следующие изменения.</w:t>
      </w:r>
    </w:p>
    <w:p w:rsidR="00EE750A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FEC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решением Думы города от 21.02.2019 №333, </w:t>
      </w:r>
      <w:r w:rsidRPr="00DF4FEC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города от 29.03.2019 №592 были внесены изменения в части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перераспределения бюджетных ассигнований за счет средств </w:t>
      </w:r>
      <w:r w:rsidRPr="00BC78DB">
        <w:rPr>
          <w:rFonts w:ascii="Times New Roman" w:hAnsi="Times New Roman" w:cs="Times New Roman"/>
          <w:bCs/>
          <w:sz w:val="24"/>
          <w:szCs w:val="24"/>
        </w:rPr>
        <w:t>бюджета города между основными мероприятиями Муниципальной программы без изменения ее общего объема финансирования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7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Изменения были обусловлены необходимостью корректировки лимитов бюджетных ассигнований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под фактическую потребность в связи с вводом в эксплуатацию новых камер системы видеонаблюдения в сфере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общественного порядка и выходом из строя камер </w:t>
      </w:r>
      <w:r w:rsidRPr="00BC78DB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C78DB">
        <w:rPr>
          <w:rFonts w:ascii="Times New Roman" w:hAnsi="Times New Roman" w:cs="Times New Roman"/>
          <w:color w:val="000000"/>
          <w:sz w:val="24"/>
          <w:szCs w:val="24"/>
        </w:rPr>
        <w:t xml:space="preserve"> видеонаблюдения в сфере безопасности дорожного 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EE750A" w:rsidRPr="00BC78DB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8DB">
        <w:rPr>
          <w:rFonts w:ascii="Times New Roman" w:hAnsi="Times New Roman" w:cs="Times New Roman"/>
          <w:bCs/>
          <w:sz w:val="24"/>
          <w:szCs w:val="24"/>
        </w:rPr>
        <w:t>основное мероприятие 1.2. «</w:t>
      </w:r>
      <w:r w:rsidRPr="00BC78DB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функционирования и развития систем видеонаблюдения в сфере безопасности дорожного движения, информирования населения» до уровня </w:t>
      </w:r>
      <w:r>
        <w:rPr>
          <w:rFonts w:ascii="Times New Roman" w:hAnsi="Times New Roman" w:cs="Times New Roman"/>
          <w:color w:val="000000"/>
          <w:sz w:val="24"/>
          <w:szCs w:val="24"/>
        </w:rPr>
        <w:t>146,0</w:t>
      </w:r>
      <w:r w:rsidRPr="00BC7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8DB">
        <w:rPr>
          <w:rFonts w:ascii="Times New Roman" w:hAnsi="Times New Roman" w:cs="Times New Roman"/>
          <w:sz w:val="24"/>
          <w:szCs w:val="24"/>
        </w:rPr>
        <w:t>(-</w:t>
      </w:r>
      <w:r>
        <w:rPr>
          <w:rFonts w:ascii="Times New Roman" w:hAnsi="Times New Roman" w:cs="Times New Roman"/>
          <w:sz w:val="24"/>
          <w:szCs w:val="24"/>
        </w:rPr>
        <w:t>54,0</w:t>
      </w:r>
      <w:r w:rsidRPr="00BC78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78D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C78D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78DB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BC78D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750A" w:rsidRPr="00BC78DB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8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основное меропр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8DB">
        <w:rPr>
          <w:rFonts w:ascii="Times New Roman" w:hAnsi="Times New Roman" w:cs="Times New Roman"/>
          <w:color w:val="000000"/>
          <w:sz w:val="24"/>
          <w:szCs w:val="24"/>
        </w:rPr>
        <w:t xml:space="preserve">ятие 1.3. «Обеспечение функционирования и развития систем видеонаблюдения в сфере общественного порядка»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Pr="00BC78DB">
        <w:rPr>
          <w:rFonts w:ascii="Times New Roman" w:hAnsi="Times New Roman" w:cs="Times New Roman"/>
          <w:color w:val="000000"/>
          <w:sz w:val="24"/>
          <w:szCs w:val="24"/>
        </w:rPr>
        <w:t xml:space="preserve">уровня </w:t>
      </w:r>
      <w:r>
        <w:rPr>
          <w:rFonts w:ascii="Times New Roman" w:hAnsi="Times New Roman" w:cs="Times New Roman"/>
          <w:sz w:val="24"/>
          <w:szCs w:val="24"/>
        </w:rPr>
        <w:t>154,0</w:t>
      </w:r>
      <w:r w:rsidRPr="00BC78DB">
        <w:rPr>
          <w:rFonts w:ascii="Times New Roman" w:hAnsi="Times New Roman" w:cs="Times New Roman"/>
          <w:sz w:val="24"/>
          <w:szCs w:val="24"/>
        </w:rPr>
        <w:t xml:space="preserve"> (+</w:t>
      </w:r>
      <w:r>
        <w:rPr>
          <w:rFonts w:ascii="Times New Roman" w:hAnsi="Times New Roman" w:cs="Times New Roman"/>
          <w:sz w:val="24"/>
          <w:szCs w:val="24"/>
        </w:rPr>
        <w:t>54,0</w:t>
      </w:r>
      <w:r w:rsidRPr="00BC78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78D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C78D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78DB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BC78DB">
        <w:rPr>
          <w:rFonts w:ascii="Times New Roman" w:hAnsi="Times New Roman" w:cs="Times New Roman"/>
          <w:sz w:val="24"/>
          <w:szCs w:val="24"/>
        </w:rPr>
        <w:t>.</w:t>
      </w:r>
    </w:p>
    <w:p w:rsidR="00EE750A" w:rsidRPr="00D47A4F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4FEC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решениями Думы города от 22.03.</w:t>
      </w:r>
      <w:r w:rsidRPr="00473CA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343 и от </w:t>
      </w:r>
      <w:r w:rsidRPr="00473C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473CA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473CA1">
        <w:rPr>
          <w:rFonts w:ascii="Times New Roman" w:hAnsi="Times New Roman"/>
          <w:sz w:val="24"/>
          <w:szCs w:val="24"/>
        </w:rPr>
        <w:t xml:space="preserve">.2019 </w:t>
      </w:r>
      <w:r>
        <w:rPr>
          <w:rFonts w:ascii="Times New Roman" w:hAnsi="Times New Roman"/>
          <w:sz w:val="24"/>
          <w:szCs w:val="24"/>
        </w:rPr>
        <w:t xml:space="preserve">№362, </w:t>
      </w:r>
      <w:r w:rsidRPr="00DF4FEC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города от </w:t>
      </w:r>
      <w:r>
        <w:rPr>
          <w:rFonts w:ascii="Times New Roman" w:hAnsi="Times New Roman" w:cs="Times New Roman"/>
          <w:bCs/>
          <w:sz w:val="24"/>
          <w:szCs w:val="24"/>
        </w:rPr>
        <w:t>01</w:t>
      </w:r>
      <w:r w:rsidRPr="00DF4FE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DF4FEC">
        <w:rPr>
          <w:rFonts w:ascii="Times New Roman" w:hAnsi="Times New Roman" w:cs="Times New Roman"/>
          <w:bCs/>
          <w:sz w:val="24"/>
          <w:szCs w:val="24"/>
        </w:rPr>
        <w:t>.2019 №</w:t>
      </w:r>
      <w:r>
        <w:rPr>
          <w:rFonts w:ascii="Times New Roman" w:hAnsi="Times New Roman" w:cs="Times New Roman"/>
          <w:bCs/>
          <w:sz w:val="24"/>
          <w:szCs w:val="24"/>
        </w:rPr>
        <w:t>2309</w:t>
      </w:r>
      <w:r w:rsidRPr="00DF4FEC">
        <w:rPr>
          <w:rFonts w:ascii="Times New Roman" w:hAnsi="Times New Roman" w:cs="Times New Roman"/>
          <w:bCs/>
          <w:sz w:val="24"/>
          <w:szCs w:val="24"/>
        </w:rPr>
        <w:t xml:space="preserve"> были внесены изменения в части увеличения </w:t>
      </w:r>
      <w:r w:rsidRPr="00DF4FEC">
        <w:rPr>
          <w:rFonts w:ascii="Times New Roman" w:hAnsi="Times New Roman" w:cs="Times New Roman"/>
          <w:sz w:val="24"/>
          <w:szCs w:val="24"/>
        </w:rPr>
        <w:t>расходных обязательств, направленных 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перераспределения бюджетных </w:t>
      </w:r>
      <w:r w:rsidRPr="00D47A4F">
        <w:rPr>
          <w:rFonts w:ascii="Times New Roman" w:hAnsi="Times New Roman" w:cs="Times New Roman"/>
          <w:bCs/>
          <w:sz w:val="24"/>
          <w:szCs w:val="24"/>
        </w:rPr>
        <w:t>ассигнований за счет средств</w:t>
      </w:r>
      <w:proofErr w:type="gramEnd"/>
      <w:r w:rsidRPr="00D47A4F">
        <w:rPr>
          <w:rFonts w:ascii="Times New Roman" w:hAnsi="Times New Roman" w:cs="Times New Roman"/>
          <w:bCs/>
          <w:sz w:val="24"/>
          <w:szCs w:val="24"/>
        </w:rPr>
        <w:t xml:space="preserve"> бюджета города между основными мероприятиями. </w:t>
      </w:r>
      <w:proofErr w:type="gramStart"/>
      <w:r w:rsidRPr="00D47A4F">
        <w:rPr>
          <w:rFonts w:ascii="Times New Roman" w:hAnsi="Times New Roman" w:cs="Times New Roman"/>
          <w:bCs/>
          <w:sz w:val="24"/>
          <w:szCs w:val="24"/>
        </w:rPr>
        <w:t xml:space="preserve">Изменения были обусловлены выделением </w:t>
      </w:r>
      <w:r w:rsidRPr="00D47A4F">
        <w:rPr>
          <w:rFonts w:ascii="Times New Roman" w:hAnsi="Times New Roman" w:cs="Times New Roman"/>
          <w:sz w:val="24"/>
          <w:szCs w:val="24"/>
        </w:rPr>
        <w:t xml:space="preserve">дополнительного финансирования  на реализацию расходных обязательств, направленных 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 в рамках </w:t>
      </w:r>
      <w:r w:rsidRPr="00D47A4F">
        <w:rPr>
          <w:rFonts w:ascii="Times New Roman" w:hAnsi="Times New Roman" w:cs="Times New Roman"/>
          <w:bCs/>
          <w:sz w:val="24"/>
          <w:szCs w:val="24"/>
        </w:rPr>
        <w:t>государственной программы Ханты-Мансийского автономного округа – Югры «</w:t>
      </w:r>
      <w:r w:rsidRPr="00D47A4F">
        <w:rPr>
          <w:rFonts w:ascii="Times New Roman" w:hAnsi="Times New Roman" w:cs="Times New Roman"/>
          <w:sz w:val="24"/>
          <w:szCs w:val="24"/>
        </w:rPr>
        <w:t>Современная транспортная система</w:t>
      </w:r>
      <w:r w:rsidRPr="00D47A4F">
        <w:rPr>
          <w:rFonts w:ascii="Times New Roman" w:hAnsi="Times New Roman" w:cs="Times New Roman"/>
          <w:bCs/>
          <w:sz w:val="24"/>
          <w:szCs w:val="24"/>
        </w:rPr>
        <w:t>» и выделени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47A4F">
        <w:rPr>
          <w:rFonts w:ascii="Times New Roman" w:hAnsi="Times New Roman" w:cs="Times New Roman"/>
          <w:bCs/>
          <w:sz w:val="24"/>
          <w:szCs w:val="24"/>
        </w:rPr>
        <w:t xml:space="preserve">м из бюджета города доли </w:t>
      </w:r>
      <w:proofErr w:type="spellStart"/>
      <w:r w:rsidRPr="00D47A4F">
        <w:rPr>
          <w:rFonts w:ascii="Times New Roman" w:hAnsi="Times New Roman" w:cs="Times New Roman"/>
          <w:bCs/>
          <w:sz w:val="24"/>
          <w:szCs w:val="24"/>
        </w:rPr>
        <w:t>софинасирования</w:t>
      </w:r>
      <w:proofErr w:type="spellEnd"/>
      <w:r w:rsidRPr="00D47A4F">
        <w:rPr>
          <w:rFonts w:ascii="Times New Roman" w:hAnsi="Times New Roman" w:cs="Times New Roman"/>
          <w:bCs/>
          <w:sz w:val="24"/>
          <w:szCs w:val="24"/>
        </w:rPr>
        <w:t xml:space="preserve"> в рамках </w:t>
      </w:r>
      <w:r w:rsidRPr="00D47A4F">
        <w:rPr>
          <w:rFonts w:ascii="Times New Roman" w:hAnsi="Times New Roman" w:cs="Times New Roman"/>
          <w:sz w:val="24"/>
          <w:szCs w:val="24"/>
        </w:rPr>
        <w:t>Муниципальной программы:</w:t>
      </w:r>
      <w:proofErr w:type="gramEnd"/>
    </w:p>
    <w:p w:rsidR="00EE750A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Pr="00DF4FE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решением Думы города от 22.03.2019 </w:t>
      </w:r>
      <w:r w:rsidRPr="00473CA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343 внесены изменения в показатели финансирования </w:t>
      </w:r>
      <w:r w:rsidRPr="00BC78DB">
        <w:rPr>
          <w:rFonts w:ascii="Times New Roman" w:hAnsi="Times New Roman" w:cs="Times New Roman"/>
          <w:bCs/>
          <w:sz w:val="24"/>
          <w:szCs w:val="24"/>
        </w:rPr>
        <w:t>основно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BC78DB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BC78DB">
        <w:rPr>
          <w:rFonts w:ascii="Times New Roman" w:hAnsi="Times New Roman" w:cs="Times New Roman"/>
          <w:bCs/>
          <w:sz w:val="24"/>
          <w:szCs w:val="24"/>
        </w:rPr>
        <w:t xml:space="preserve"> 1.2. «</w:t>
      </w:r>
      <w:r w:rsidRPr="00BC78DB">
        <w:rPr>
          <w:rFonts w:ascii="Times New Roman" w:hAnsi="Times New Roman" w:cs="Times New Roman"/>
          <w:color w:val="000000"/>
          <w:sz w:val="24"/>
          <w:szCs w:val="24"/>
        </w:rPr>
        <w:t>Обеспечение функционирования и развития систем видеонаблюдения в сфере безопасности дорожного движения, информирования населения»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750A" w:rsidRPr="00DF4FEC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E76">
        <w:rPr>
          <w:rFonts w:ascii="Times New Roman" w:hAnsi="Times New Roman" w:cs="Times New Roman"/>
          <w:sz w:val="24"/>
          <w:szCs w:val="24"/>
        </w:rPr>
        <w:t>1747,2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DF4FEC">
        <w:rPr>
          <w:rFonts w:ascii="Times New Roman" w:hAnsi="Times New Roman" w:cs="Times New Roman"/>
          <w:bCs/>
          <w:sz w:val="24"/>
          <w:szCs w:val="24"/>
        </w:rPr>
        <w:t>+1747,2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FEC">
        <w:rPr>
          <w:rFonts w:ascii="Times New Roman" w:hAnsi="Times New Roman" w:cs="Times New Roman"/>
          <w:bCs/>
          <w:sz w:val="24"/>
          <w:szCs w:val="24"/>
        </w:rPr>
        <w:t>– за счет средств бюджета Ханты-Мансийского автономного округа – Югры,</w:t>
      </w:r>
    </w:p>
    <w:p w:rsidR="00EE750A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E76">
        <w:rPr>
          <w:rFonts w:ascii="Times New Roman" w:hAnsi="Times New Roman" w:cs="Times New Roman"/>
          <w:sz w:val="24"/>
          <w:szCs w:val="24"/>
        </w:rPr>
        <w:t xml:space="preserve">894,8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DF4FEC">
        <w:rPr>
          <w:rFonts w:ascii="Times New Roman" w:hAnsi="Times New Roman" w:cs="Times New Roman"/>
          <w:bCs/>
          <w:sz w:val="24"/>
          <w:szCs w:val="24"/>
        </w:rPr>
        <w:t>+748,8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DF4FEC">
        <w:rPr>
          <w:rFonts w:ascii="Times New Roman" w:hAnsi="Times New Roman" w:cs="Times New Roman"/>
          <w:bCs/>
          <w:sz w:val="24"/>
          <w:szCs w:val="24"/>
        </w:rPr>
        <w:t xml:space="preserve"> – за счет средств бюджета города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реализацию мероприятия 8.1.2 государственной программы Ханты-Мансийского автономного округа – Югры </w:t>
      </w:r>
      <w:r w:rsidRPr="00ED5CFF">
        <w:rPr>
          <w:rFonts w:ascii="Times New Roman" w:hAnsi="Times New Roman" w:cs="Times New Roman"/>
          <w:bCs/>
          <w:sz w:val="24"/>
          <w:szCs w:val="24"/>
        </w:rPr>
        <w:t>«</w:t>
      </w:r>
      <w:r w:rsidRPr="00ED5CFF">
        <w:rPr>
          <w:rFonts w:ascii="Times New Roman" w:hAnsi="Times New Roman" w:cs="Times New Roman"/>
          <w:sz w:val="24"/>
          <w:szCs w:val="24"/>
        </w:rPr>
        <w:t>Современная транспортная система</w:t>
      </w:r>
      <w:r w:rsidRPr="00ED5CFF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EE750A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Pr="00DF4FE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решением Думы города от </w:t>
      </w:r>
      <w:r w:rsidRPr="00473C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473CA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473CA1">
        <w:rPr>
          <w:rFonts w:ascii="Times New Roman" w:hAnsi="Times New Roman"/>
          <w:sz w:val="24"/>
          <w:szCs w:val="24"/>
        </w:rPr>
        <w:t xml:space="preserve">.2019 </w:t>
      </w:r>
      <w:r>
        <w:rPr>
          <w:rFonts w:ascii="Times New Roman" w:hAnsi="Times New Roman"/>
          <w:sz w:val="24"/>
          <w:szCs w:val="24"/>
        </w:rPr>
        <w:t>№362 внесены корректировки:</w:t>
      </w:r>
    </w:p>
    <w:p w:rsidR="00EE750A" w:rsidRPr="0065059E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8DB">
        <w:rPr>
          <w:rFonts w:ascii="Times New Roman" w:hAnsi="Times New Roman" w:cs="Times New Roman"/>
          <w:bCs/>
          <w:sz w:val="24"/>
          <w:szCs w:val="24"/>
        </w:rPr>
        <w:t>основное мероприятие 1.2. «</w:t>
      </w:r>
      <w:r w:rsidRPr="00BC78DB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функционирования и развития систем видеонаблюдения в сфере безопасности дорожного движения, информирования населения» до уровня 876,3 </w:t>
      </w:r>
      <w:r w:rsidRPr="00BC78DB">
        <w:rPr>
          <w:rFonts w:ascii="Times New Roman" w:hAnsi="Times New Roman" w:cs="Times New Roman"/>
          <w:sz w:val="24"/>
          <w:szCs w:val="24"/>
        </w:rPr>
        <w:t>(-18,5</w:t>
      </w:r>
      <w:r w:rsidRPr="006505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5059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505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9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50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750A" w:rsidRPr="0065059E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59E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мероприятие 1.3. «Обеспечение функционирования и развития систем видеонаблюдения в сфере общественного порядка» до уровня </w:t>
      </w:r>
      <w:r w:rsidRPr="0065059E">
        <w:rPr>
          <w:rFonts w:ascii="Times New Roman" w:hAnsi="Times New Roman" w:cs="Times New Roman"/>
          <w:sz w:val="24"/>
          <w:szCs w:val="24"/>
        </w:rPr>
        <w:t xml:space="preserve">172,5 (+18,5) </w:t>
      </w:r>
      <w:proofErr w:type="spellStart"/>
      <w:r w:rsidRPr="0065059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505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9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5059E">
        <w:rPr>
          <w:rFonts w:ascii="Times New Roman" w:hAnsi="Times New Roman" w:cs="Times New Roman"/>
          <w:sz w:val="24"/>
          <w:szCs w:val="24"/>
        </w:rPr>
        <w:t>.</w:t>
      </w:r>
    </w:p>
    <w:p w:rsidR="00EE750A" w:rsidRDefault="00EE750A" w:rsidP="00EE7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59E">
        <w:rPr>
          <w:rFonts w:ascii="Times New Roman" w:hAnsi="Times New Roman" w:cs="Times New Roman"/>
          <w:sz w:val="24"/>
          <w:szCs w:val="24"/>
        </w:rPr>
        <w:t xml:space="preserve">В соответствие с решением Думы города от 29.10.2019 №392 постановлением администрации города </w:t>
      </w:r>
      <w:r w:rsidRPr="0065059E">
        <w:rPr>
          <w:rFonts w:ascii="Times New Roman" w:hAnsi="Times New Roman" w:cs="Times New Roman"/>
          <w:bCs/>
          <w:sz w:val="24"/>
          <w:szCs w:val="24"/>
        </w:rPr>
        <w:t xml:space="preserve">от 06.12.2019 №2708 внесены изменения в </w:t>
      </w:r>
      <w:r w:rsidRPr="0065059E">
        <w:rPr>
          <w:rFonts w:ascii="Times New Roman" w:hAnsi="Times New Roman" w:cs="Times New Roman"/>
          <w:sz w:val="24"/>
          <w:szCs w:val="24"/>
        </w:rPr>
        <w:t xml:space="preserve">части изменений показателей финансирования мероприятий подпрограммы 1 «Профилактика правонарушений» на 2019 в целях повышения эффективности финансового обеспечения реализации Муниципальной программы, в том числе в связи с </w:t>
      </w:r>
      <w:proofErr w:type="spellStart"/>
      <w:r w:rsidRPr="0065059E">
        <w:rPr>
          <w:rFonts w:ascii="Times New Roman" w:hAnsi="Times New Roman" w:cs="Times New Roman"/>
          <w:sz w:val="24"/>
          <w:szCs w:val="24"/>
        </w:rPr>
        <w:t>невостребованностью</w:t>
      </w:r>
      <w:proofErr w:type="spellEnd"/>
      <w:r w:rsidRPr="0065059E">
        <w:rPr>
          <w:rFonts w:ascii="Times New Roman" w:hAnsi="Times New Roman" w:cs="Times New Roman"/>
          <w:sz w:val="24"/>
          <w:szCs w:val="24"/>
        </w:rPr>
        <w:t xml:space="preserve"> средств субсидии из бюджета Ханты-Мансийского автономного округа – Югры на реализацию мероприятия 1.2.</w:t>
      </w:r>
      <w:proofErr w:type="gramEnd"/>
      <w:r w:rsidRPr="0065059E">
        <w:rPr>
          <w:rFonts w:ascii="Times New Roman" w:hAnsi="Times New Roman" w:cs="Times New Roman"/>
          <w:sz w:val="24"/>
          <w:szCs w:val="24"/>
        </w:rPr>
        <w:t xml:space="preserve"> </w:t>
      </w:r>
      <w:r w:rsidRPr="0065059E">
        <w:rPr>
          <w:rFonts w:ascii="Times New Roman" w:hAnsi="Times New Roman" w:cs="Times New Roman"/>
          <w:bCs/>
          <w:sz w:val="24"/>
          <w:szCs w:val="24"/>
        </w:rPr>
        <w:t>«</w:t>
      </w:r>
      <w:r w:rsidRPr="0065059E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функционирования и развития систем видеонаблюдения в сфере безопасности дорожного движения, информирования населения» </w:t>
      </w:r>
      <w:r w:rsidRPr="0065059E">
        <w:rPr>
          <w:rFonts w:ascii="Times New Roman" w:hAnsi="Times New Roman" w:cs="Times New Roman"/>
          <w:sz w:val="24"/>
          <w:szCs w:val="24"/>
        </w:rPr>
        <w:t xml:space="preserve">в 2019 году, средства доли </w:t>
      </w:r>
      <w:proofErr w:type="spellStart"/>
      <w:r w:rsidRPr="0065059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5059E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города в размере 662,8 </w:t>
      </w:r>
      <w:proofErr w:type="spellStart"/>
      <w:r w:rsidRPr="0065059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505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9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5059E">
        <w:rPr>
          <w:rFonts w:ascii="Times New Roman" w:hAnsi="Times New Roman" w:cs="Times New Roman"/>
          <w:sz w:val="24"/>
          <w:szCs w:val="24"/>
        </w:rPr>
        <w:t xml:space="preserve"> возвращены в бюджет города. Не обеспеченный муниципальными контрактами остаток средств на реализацию мероприятия  </w:t>
      </w:r>
      <w:r w:rsidRPr="0065059E">
        <w:rPr>
          <w:rFonts w:ascii="Times New Roman" w:hAnsi="Times New Roman" w:cs="Times New Roman"/>
          <w:color w:val="000000"/>
          <w:sz w:val="24"/>
          <w:szCs w:val="24"/>
        </w:rPr>
        <w:t xml:space="preserve">1.3. «Обеспечение функционирования и развития систем видеонаблюдения в сфере общественного порядка» </w:t>
      </w:r>
      <w:r w:rsidRPr="0065059E">
        <w:rPr>
          <w:rFonts w:ascii="Times New Roman" w:hAnsi="Times New Roman" w:cs="Times New Roman"/>
          <w:sz w:val="24"/>
          <w:szCs w:val="24"/>
        </w:rPr>
        <w:t xml:space="preserve">в размере 45,6 </w:t>
      </w:r>
      <w:proofErr w:type="spellStart"/>
      <w:r w:rsidRPr="0065059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505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059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5059E">
        <w:rPr>
          <w:rFonts w:ascii="Times New Roman" w:hAnsi="Times New Roman" w:cs="Times New Roman"/>
          <w:sz w:val="24"/>
          <w:szCs w:val="24"/>
        </w:rPr>
        <w:t xml:space="preserve"> возвращен в бюджет города.</w:t>
      </w:r>
    </w:p>
    <w:p w:rsidR="00EE750A" w:rsidRDefault="00EE750A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F61" w:rsidRDefault="00EE71E6" w:rsidP="00BE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="00BE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  <w:r w:rsidR="00BE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целевых показателей </w:t>
      </w:r>
      <w:r w:rsidR="00BE2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осуществлялись по следующим направлениям.</w:t>
      </w:r>
    </w:p>
    <w:p w:rsidR="00BE2F61" w:rsidRDefault="00BE2F61" w:rsidP="00BE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8"/>
        <w:gridCol w:w="2351"/>
        <w:gridCol w:w="2910"/>
        <w:gridCol w:w="1342"/>
        <w:gridCol w:w="2410"/>
        <w:gridCol w:w="3685"/>
      </w:tblGrid>
      <w:tr w:rsidR="000761C1" w:rsidRPr="00BE2F61" w:rsidTr="000761C1">
        <w:trPr>
          <w:gridAfter w:val="1"/>
          <w:wAfter w:w="3685" w:type="dxa"/>
          <w:trHeight w:val="697"/>
        </w:trPr>
        <w:tc>
          <w:tcPr>
            <w:tcW w:w="876" w:type="dxa"/>
            <w:gridSpan w:val="2"/>
            <w:shd w:val="clear" w:color="000000" w:fill="FFFFFF"/>
            <w:vAlign w:val="center"/>
          </w:tcPr>
          <w:p w:rsidR="000761C1" w:rsidRPr="00BE2F61" w:rsidRDefault="000761C1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1" w:type="dxa"/>
            <w:shd w:val="clear" w:color="000000" w:fill="FFFFFF"/>
            <w:vAlign w:val="center"/>
          </w:tcPr>
          <w:p w:rsidR="000761C1" w:rsidRPr="00BE2F61" w:rsidRDefault="000761C1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910" w:type="dxa"/>
            <w:shd w:val="clear" w:color="000000" w:fill="FFFFFF"/>
            <w:vAlign w:val="center"/>
          </w:tcPr>
          <w:p w:rsidR="000761C1" w:rsidRPr="00BE2F61" w:rsidRDefault="000761C1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0761C1" w:rsidRPr="00BE2F61" w:rsidRDefault="000761C1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(направления расходов)</w:t>
            </w:r>
          </w:p>
        </w:tc>
        <w:tc>
          <w:tcPr>
            <w:tcW w:w="3752" w:type="dxa"/>
            <w:gridSpan w:val="2"/>
            <w:shd w:val="clear" w:color="000000" w:fill="FFFFFF"/>
            <w:vAlign w:val="center"/>
          </w:tcPr>
          <w:p w:rsidR="000761C1" w:rsidRPr="00BE2F61" w:rsidRDefault="000761C1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0761C1" w:rsidRPr="00BE2F61" w:rsidTr="00702FAB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shd w:val="clear" w:color="000000" w:fill="FFFFFF"/>
            <w:vAlign w:val="center"/>
          </w:tcPr>
          <w:p w:rsidR="000761C1" w:rsidRPr="00BE2F61" w:rsidRDefault="000761C1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shd w:val="clear" w:color="000000" w:fill="FFFFFF"/>
            <w:vAlign w:val="center"/>
          </w:tcPr>
          <w:p w:rsidR="000761C1" w:rsidRPr="00BE2F61" w:rsidRDefault="000761C1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000000" w:fill="FFFFFF"/>
            <w:vAlign w:val="center"/>
          </w:tcPr>
          <w:p w:rsidR="000761C1" w:rsidRPr="00BE2F61" w:rsidRDefault="000761C1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  <w:gridSpan w:val="2"/>
            <w:shd w:val="clear" w:color="000000" w:fill="FFFFFF"/>
            <w:vAlign w:val="center"/>
          </w:tcPr>
          <w:p w:rsidR="000761C1" w:rsidRPr="00BE2F61" w:rsidRDefault="000761C1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F61" w:rsidRPr="00BE2F61" w:rsidTr="000761C1">
        <w:trPr>
          <w:gridAfter w:val="1"/>
          <w:wAfter w:w="3685" w:type="dxa"/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BE2F61" w:rsidRPr="00BE2F61" w:rsidRDefault="00BE2F61" w:rsidP="00E4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Цель: обеспечение общественного порядка, профилактика правонарушений</w:t>
            </w:r>
          </w:p>
        </w:tc>
      </w:tr>
      <w:tr w:rsidR="00BE2F61" w:rsidRPr="00BE2F61" w:rsidTr="000761C1">
        <w:trPr>
          <w:gridAfter w:val="1"/>
          <w:wAfter w:w="3685" w:type="dxa"/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BE2F61" w:rsidRPr="00BE2F61" w:rsidRDefault="00BE2F61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и совершенствование условий для обеспечения общественного порядка, в том числе с участием граждан; правовое информирование граждан</w:t>
            </w:r>
          </w:p>
        </w:tc>
      </w:tr>
      <w:tr w:rsidR="00BE2F61" w:rsidRPr="00BE2F61" w:rsidTr="000761C1">
        <w:trPr>
          <w:gridAfter w:val="1"/>
          <w:wAfter w:w="3685" w:type="dxa"/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BE2F61" w:rsidRPr="00BE2F61" w:rsidRDefault="00BE2F61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Подпрограмма 1 (Профилактика правонарушений)</w:t>
            </w:r>
          </w:p>
        </w:tc>
      </w:tr>
      <w:tr w:rsidR="000761C1" w:rsidRPr="00BE2F61" w:rsidTr="00677BAF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shd w:val="clear" w:color="000000" w:fill="FFFFFF"/>
          </w:tcPr>
          <w:p w:rsidR="000761C1" w:rsidRPr="00BE2F61" w:rsidRDefault="000761C1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51" w:type="dxa"/>
            <w:shd w:val="clear" w:color="000000" w:fill="FFFFFF"/>
          </w:tcPr>
          <w:p w:rsidR="000761C1" w:rsidRPr="00BE2F61" w:rsidRDefault="000761C1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деятельности народных дружин </w:t>
            </w:r>
          </w:p>
        </w:tc>
        <w:tc>
          <w:tcPr>
            <w:tcW w:w="2910" w:type="dxa"/>
            <w:shd w:val="clear" w:color="000000" w:fill="FFFFFF"/>
          </w:tcPr>
          <w:p w:rsidR="000761C1" w:rsidRPr="00BE2F61" w:rsidRDefault="000761C1" w:rsidP="00E471C9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положений </w:t>
            </w: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 xml:space="preserve"> от 02.04.2014 №44-ФЗ «Об участии граждан в охране общественного порядка»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осуществлялось м</w:t>
            </w: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атериальное стимулирование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(членов Добровольной казачьей дружины)</w:t>
            </w: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участвующих в охране общественного порядка, пресечении преступлений и иных правонарушений.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gridSpan w:val="2"/>
            <w:shd w:val="clear" w:color="000000" w:fill="FFFFFF"/>
          </w:tcPr>
          <w:p w:rsidR="000761C1" w:rsidRPr="00BE2F61" w:rsidRDefault="000761C1" w:rsidP="00E471C9">
            <w:pPr>
              <w:spacing w:after="0" w:line="240" w:lineRule="auto"/>
              <w:ind w:firstLine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«Доля уличных преступлений в числе зарегистрированных общеуголовных преступлений»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на уровне </w:t>
            </w: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 что составляет 95</w:t>
            </w:r>
            <w:r w:rsidR="00E47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 от запланированного значени</w:t>
            </w:r>
            <w:r w:rsidR="00E471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1C1" w:rsidRPr="00BE2F61" w:rsidRDefault="000761C1" w:rsidP="00E471C9">
            <w:pPr>
              <w:autoSpaceDE w:val="0"/>
              <w:autoSpaceDN w:val="0"/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Показатель 6 «Уровень преступности (число зарегистрированных преступлений на 100 тыс.)»</w:t>
            </w:r>
            <w:r w:rsidR="00E471C9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на уровне </w:t>
            </w:r>
            <w:r w:rsidR="00E471C9" w:rsidRPr="00834A06">
              <w:rPr>
                <w:rFonts w:ascii="Times New Roman" w:hAnsi="Times New Roman" w:cs="Times New Roman"/>
                <w:sz w:val="24"/>
                <w:szCs w:val="24"/>
              </w:rPr>
              <w:t>1004,1</w:t>
            </w:r>
            <w:r w:rsidR="00E471C9">
              <w:rPr>
                <w:rFonts w:ascii="Times New Roman" w:hAnsi="Times New Roman" w:cs="Times New Roman"/>
                <w:sz w:val="24"/>
                <w:szCs w:val="24"/>
              </w:rPr>
              <w:t xml:space="preserve"> единиц, что составляет 91,1% от плановых значений показателя</w:t>
            </w: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1C9" w:rsidRPr="00BE2F61" w:rsidTr="00E82ECB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shd w:val="clear" w:color="000000" w:fill="FFFFFF"/>
          </w:tcPr>
          <w:p w:rsidR="00E471C9" w:rsidRPr="00BE2F61" w:rsidRDefault="00E471C9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51" w:type="dxa"/>
            <w:shd w:val="clear" w:color="000000" w:fill="FFFFFF"/>
          </w:tcPr>
          <w:p w:rsidR="00E471C9" w:rsidRPr="00BE2F61" w:rsidRDefault="00E471C9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</w:tc>
        <w:tc>
          <w:tcPr>
            <w:tcW w:w="2910" w:type="dxa"/>
            <w:shd w:val="clear" w:color="000000" w:fill="FFFFFF"/>
          </w:tcPr>
          <w:p w:rsidR="00E471C9" w:rsidRPr="00BE2F61" w:rsidRDefault="00E471C9" w:rsidP="00E47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Энергоснабжение, техническое обслуживание и ремонт оборудования.</w:t>
            </w:r>
          </w:p>
          <w:p w:rsidR="00E471C9" w:rsidRPr="00BE2F61" w:rsidRDefault="00E471C9" w:rsidP="00E47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населения о необходимости соблюдения правил дорожного движения.</w:t>
            </w:r>
          </w:p>
        </w:tc>
        <w:tc>
          <w:tcPr>
            <w:tcW w:w="3752" w:type="dxa"/>
            <w:gridSpan w:val="2"/>
            <w:shd w:val="clear" w:color="000000" w:fill="FFFFFF"/>
          </w:tcPr>
          <w:p w:rsidR="00E471C9" w:rsidRPr="00BE2F61" w:rsidRDefault="00E471C9" w:rsidP="00E4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«Доля административных правонарушений, предусмотренных ст. 12.9, 12.12, 12.16, 12.19 КоАП РФ, выявленных с помощью технических </w:t>
            </w: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</w:t>
            </w:r>
            <w:proofErr w:type="spellStart"/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работающих в автоматическом режиме, в общем количестве таких правонарушений»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достигнут на уровне 45%, что соответствует плану на 2019 год</w:t>
            </w: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1C9" w:rsidRPr="00BE2F61" w:rsidTr="00653841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shd w:val="clear" w:color="000000" w:fill="FFFFFF"/>
          </w:tcPr>
          <w:p w:rsidR="00E471C9" w:rsidRPr="00BE2F61" w:rsidRDefault="00E471C9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51" w:type="dxa"/>
            <w:shd w:val="clear" w:color="000000" w:fill="FFFFFF"/>
          </w:tcPr>
          <w:p w:rsidR="00E471C9" w:rsidRPr="00BE2F61" w:rsidRDefault="00E471C9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910" w:type="dxa"/>
            <w:shd w:val="clear" w:color="000000" w:fill="FFFFFF"/>
          </w:tcPr>
          <w:p w:rsidR="00E471C9" w:rsidRPr="00BE2F61" w:rsidRDefault="00E471C9" w:rsidP="00E47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Энергоснабжение, техническое обслуживание и ремонт оборудования.  </w:t>
            </w:r>
          </w:p>
        </w:tc>
        <w:tc>
          <w:tcPr>
            <w:tcW w:w="3752" w:type="dxa"/>
            <w:gridSpan w:val="2"/>
            <w:shd w:val="clear" w:color="000000" w:fill="FFFFFF"/>
          </w:tcPr>
          <w:p w:rsidR="00E471C9" w:rsidRPr="00BE2F61" w:rsidRDefault="00E471C9" w:rsidP="00E471C9">
            <w:pPr>
              <w:spacing w:after="0" w:line="240" w:lineRule="auto"/>
              <w:ind w:firstLine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«Доля уличных преступлений в числе зарегистрированных общеуголовных преступлений»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на уровне </w:t>
            </w: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 что составляет 95,5% от запланированного значения</w:t>
            </w: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1C9" w:rsidRPr="00BE2F61" w:rsidRDefault="00E471C9" w:rsidP="00E471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Показатель 6 «Уровень преступности (число зарегистрированных преступлений на 100 тыс.)»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на уровне </w:t>
            </w: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1004,1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единиц, что составляет 91,1%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плановых значений показателя</w:t>
            </w: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1C9" w:rsidRPr="00BE2F61" w:rsidTr="00373AE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shd w:val="clear" w:color="000000" w:fill="FFFFFF"/>
          </w:tcPr>
          <w:p w:rsidR="00E471C9" w:rsidRPr="00BE2F61" w:rsidRDefault="00E471C9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351" w:type="dxa"/>
            <w:shd w:val="clear" w:color="000000" w:fill="FFFFFF"/>
          </w:tcPr>
          <w:p w:rsidR="00E471C9" w:rsidRPr="00BE2F61" w:rsidRDefault="00E471C9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 в сфере  профилактики правонарушений</w:t>
            </w:r>
          </w:p>
        </w:tc>
        <w:tc>
          <w:tcPr>
            <w:tcW w:w="2910" w:type="dxa"/>
            <w:shd w:val="clear" w:color="000000" w:fill="FFFFFF"/>
          </w:tcPr>
          <w:p w:rsidR="00E471C9" w:rsidRPr="00BE2F61" w:rsidRDefault="00E471C9" w:rsidP="00E47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трансляция роликов социальной рекламы профилактической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E471C9" w:rsidRPr="00BE2F61" w:rsidRDefault="00E471C9" w:rsidP="00E47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наглядной информационной продукции (буклеты, памятки, баннеры) в сфере профилактики правонарушений.</w:t>
            </w:r>
          </w:p>
        </w:tc>
        <w:tc>
          <w:tcPr>
            <w:tcW w:w="3752" w:type="dxa"/>
            <w:gridSpan w:val="2"/>
            <w:shd w:val="clear" w:color="000000" w:fill="FFFFFF"/>
          </w:tcPr>
          <w:p w:rsidR="00E471C9" w:rsidRPr="00BE2F61" w:rsidRDefault="00E471C9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3 «Количество распространенных  видов продукции»</w:t>
            </w:r>
            <w:r w:rsidR="004F5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достигнут на уровне планового значения, выпущено 2 вида продукции</w:t>
            </w: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71C9" w:rsidRPr="00BE2F61" w:rsidRDefault="00E471C9" w:rsidP="00E471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2F61" w:rsidRPr="00BE2F61" w:rsidTr="000761C1">
        <w:trPr>
          <w:gridAfter w:val="1"/>
          <w:wAfter w:w="3685" w:type="dxa"/>
          <w:trHeight w:val="300"/>
        </w:trPr>
        <w:tc>
          <w:tcPr>
            <w:tcW w:w="9889" w:type="dxa"/>
            <w:gridSpan w:val="6"/>
            <w:shd w:val="clear" w:color="000000" w:fill="FFFFFF"/>
          </w:tcPr>
          <w:p w:rsidR="00BE2F61" w:rsidRPr="00BE2F61" w:rsidRDefault="00BE2F61" w:rsidP="00E47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организационное, нормативное правовое и ресурсное обеспечение антинаркотической деятельности.</w:t>
            </w:r>
          </w:p>
        </w:tc>
      </w:tr>
      <w:tr w:rsidR="00BE2F61" w:rsidRPr="00BE2F61" w:rsidTr="000761C1">
        <w:trPr>
          <w:trHeight w:val="304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BE2F61" w:rsidRPr="00BE2F61" w:rsidRDefault="00BE2F61" w:rsidP="00E4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реализация профилактического комплекса мер в антинаркотической деятельности.</w:t>
            </w:r>
          </w:p>
        </w:tc>
        <w:tc>
          <w:tcPr>
            <w:tcW w:w="3685" w:type="dxa"/>
            <w:vAlign w:val="center"/>
          </w:tcPr>
          <w:p w:rsidR="00BE2F61" w:rsidRPr="00BE2F61" w:rsidRDefault="00BE2F61" w:rsidP="00E47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61" w:rsidRPr="00BE2F61" w:rsidTr="000761C1">
        <w:trPr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BE2F61" w:rsidRPr="00BE2F61" w:rsidRDefault="00BE2F61" w:rsidP="00E4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 (Профилактика незаконного оборота и потребления наркотических средств и психотропных веществ)</w:t>
            </w:r>
          </w:p>
        </w:tc>
        <w:tc>
          <w:tcPr>
            <w:tcW w:w="3685" w:type="dxa"/>
            <w:vAlign w:val="center"/>
          </w:tcPr>
          <w:p w:rsidR="00BE2F61" w:rsidRPr="00BE2F61" w:rsidRDefault="00BE2F61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136" w:rsidRPr="00BE2F61" w:rsidTr="004F5136">
        <w:trPr>
          <w:gridAfter w:val="1"/>
          <w:wAfter w:w="3685" w:type="dxa"/>
          <w:trHeight w:val="300"/>
        </w:trPr>
        <w:tc>
          <w:tcPr>
            <w:tcW w:w="828" w:type="dxa"/>
            <w:shd w:val="clear" w:color="000000" w:fill="FFFFFF"/>
            <w:vAlign w:val="center"/>
          </w:tcPr>
          <w:p w:rsidR="004F5136" w:rsidRPr="00BE2F61" w:rsidRDefault="004F5136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99" w:type="dxa"/>
            <w:gridSpan w:val="2"/>
            <w:shd w:val="clear" w:color="000000" w:fill="FFFFFF"/>
          </w:tcPr>
          <w:p w:rsidR="004F5136" w:rsidRPr="00BE2F61" w:rsidRDefault="004F5136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профилактической антинаркотической деятельности</w:t>
            </w:r>
          </w:p>
          <w:p w:rsidR="004F5136" w:rsidRPr="00BE2F61" w:rsidRDefault="004F5136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shd w:val="clear" w:color="000000" w:fill="FFFFFF"/>
          </w:tcPr>
          <w:p w:rsidR="004F5136" w:rsidRPr="00BE2F61" w:rsidRDefault="004F5136" w:rsidP="00E47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материально-технической базы волонтерских отрядов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5136" w:rsidRDefault="004F5136" w:rsidP="00E47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риобретение наглядного информационного материала, для повышения информированности населения по вопросам противодействия злоупотреблению наркотическими средствами, рассчитанную на подростковую аудиторию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4F5136" w:rsidRPr="00BE2F61" w:rsidRDefault="004F5136" w:rsidP="00E47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рок-концертов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молодежи; Проведение городских антинаркотических </w:t>
            </w: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выбираем будущее»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F5136" w:rsidRDefault="004F5136" w:rsidP="00E47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«Не преступи черту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о</w:t>
            </w: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и проведение спортивных мероприятий, направленных на </w:t>
            </w: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здоровый образ жизни, вовлечение несовершеннолетних и подростков в занятие спортом, занятие досуга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F5136" w:rsidRPr="00BE2F61" w:rsidRDefault="004F5136" w:rsidP="00E47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роликов социальной рекламы антинаркотической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4F5136" w:rsidRPr="00BE2F61" w:rsidRDefault="004F5136" w:rsidP="00E471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shd w:val="clear" w:color="000000" w:fill="FFFFFF"/>
          </w:tcPr>
          <w:p w:rsidR="004F5136" w:rsidRPr="00BE2F61" w:rsidRDefault="004F5136" w:rsidP="004F51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5 «Общая распространенность наркомании (на 100 тыс. населения)»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на уровне 151,6 единиц, при плановом значении 326,1. Показатель перевыполнен. </w:t>
            </w:r>
          </w:p>
        </w:tc>
      </w:tr>
      <w:tr w:rsidR="00BE2F61" w:rsidRPr="00BE2F61" w:rsidTr="000761C1">
        <w:trPr>
          <w:gridAfter w:val="1"/>
          <w:wAfter w:w="3685" w:type="dxa"/>
          <w:trHeight w:val="300"/>
        </w:trPr>
        <w:tc>
          <w:tcPr>
            <w:tcW w:w="9889" w:type="dxa"/>
            <w:gridSpan w:val="6"/>
            <w:shd w:val="clear" w:color="000000" w:fill="FFFFFF"/>
          </w:tcPr>
          <w:p w:rsidR="00BE2F61" w:rsidRPr="00BE2F61" w:rsidRDefault="00BE2F61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прав граждан в отдельных сферах жизнедеятельности.</w:t>
            </w:r>
          </w:p>
        </w:tc>
      </w:tr>
      <w:tr w:rsidR="00BE2F61" w:rsidRPr="00BE2F61" w:rsidTr="000761C1">
        <w:trPr>
          <w:gridAfter w:val="1"/>
          <w:wAfter w:w="3685" w:type="dxa"/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BE2F61" w:rsidRPr="00BE2F61" w:rsidRDefault="00BE2F61" w:rsidP="00E4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Задача: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BE2F61" w:rsidRPr="00BE2F61" w:rsidTr="000761C1">
        <w:trPr>
          <w:gridAfter w:val="1"/>
          <w:wAfter w:w="3685" w:type="dxa"/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BE2F61" w:rsidRPr="00BE2F61" w:rsidRDefault="00BE2F61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Подпрограмма 3 (обеспечение защиты прав потребителей)</w:t>
            </w:r>
          </w:p>
        </w:tc>
      </w:tr>
      <w:tr w:rsidR="00BE2F61" w:rsidRPr="00BE2F61" w:rsidTr="000761C1">
        <w:trPr>
          <w:gridAfter w:val="1"/>
          <w:wAfter w:w="3685" w:type="dxa"/>
          <w:trHeight w:val="300"/>
        </w:trPr>
        <w:tc>
          <w:tcPr>
            <w:tcW w:w="828" w:type="dxa"/>
            <w:shd w:val="clear" w:color="000000" w:fill="FFFFFF"/>
            <w:vAlign w:val="center"/>
          </w:tcPr>
          <w:p w:rsidR="00BE2F61" w:rsidRPr="00BE2F61" w:rsidRDefault="00BE2F61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99" w:type="dxa"/>
            <w:gridSpan w:val="2"/>
            <w:shd w:val="clear" w:color="000000" w:fill="FFFFFF"/>
          </w:tcPr>
          <w:p w:rsidR="00BE2F61" w:rsidRPr="00BE2F61" w:rsidRDefault="00BE2F61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и информирование в сфере защиты прав потребителей</w:t>
            </w:r>
          </w:p>
        </w:tc>
        <w:tc>
          <w:tcPr>
            <w:tcW w:w="2910" w:type="dxa"/>
            <w:shd w:val="clear" w:color="000000" w:fill="FFFFFF"/>
          </w:tcPr>
          <w:p w:rsidR="00BE2F61" w:rsidRPr="00BE2F61" w:rsidRDefault="00BE2F61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жителей городского округа город Мегион о правах потребителей и необходимых действиях по защите этих прав через средства массовой информации, социальные сети.</w:t>
            </w:r>
          </w:p>
          <w:p w:rsidR="00BE2F61" w:rsidRPr="00BE2F61" w:rsidRDefault="00BE2F61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shd w:val="clear" w:color="000000" w:fill="FFFFFF"/>
            <w:vAlign w:val="center"/>
          </w:tcPr>
          <w:p w:rsidR="00BE2F61" w:rsidRPr="00BE2F61" w:rsidRDefault="00BE2F61" w:rsidP="00E47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F5136" w:rsidRPr="00BE2F61" w:rsidRDefault="00BE2F61" w:rsidP="004F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7 «Доля потребительских споров, разрешенных в досудебном порядке, в общем количестве споров с участием потребителей» </w:t>
            </w:r>
          </w:p>
          <w:p w:rsidR="00BE2F61" w:rsidRPr="00BE2F61" w:rsidRDefault="00BE2F61" w:rsidP="00E4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C4C" w:rsidRPr="00EE750A" w:rsidRDefault="00976C4C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6C4C" w:rsidRDefault="00362B4E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исполнении целевых показателей </w:t>
      </w:r>
      <w:r w:rsidR="00976C4C"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 показателям</w:t>
      </w:r>
      <w:r w:rsidR="00F1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659E"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в таблице 2.</w:t>
      </w:r>
    </w:p>
    <w:p w:rsidR="00F153E9" w:rsidRDefault="00F153E9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E9" w:rsidRPr="004F5136" w:rsidRDefault="00F153E9" w:rsidP="00F153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F153E9" w:rsidRPr="004F5136" w:rsidRDefault="00F153E9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исполнении целевых показателей реализации муниципальной программы показателям, установленным при их утверждении, а также причинах их </w:t>
      </w:r>
      <w:proofErr w:type="spellStart"/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</w:p>
    <w:p w:rsidR="008C659E" w:rsidRDefault="008C659E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920" w:type="dxa"/>
        <w:jc w:val="center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3487"/>
        <w:gridCol w:w="966"/>
        <w:gridCol w:w="975"/>
        <w:gridCol w:w="1008"/>
        <w:gridCol w:w="1547"/>
        <w:gridCol w:w="1547"/>
      </w:tblGrid>
      <w:tr w:rsidR="00362B4E" w:rsidRPr="00834A06" w:rsidTr="00362B4E">
        <w:trPr>
          <w:trHeight w:val="697"/>
          <w:jc w:val="center"/>
        </w:trPr>
        <w:tc>
          <w:tcPr>
            <w:tcW w:w="1390" w:type="dxa"/>
            <w:vMerge w:val="restart"/>
            <w:tcBorders>
              <w:top w:val="single" w:sz="4" w:space="0" w:color="auto"/>
            </w:tcBorders>
            <w:vAlign w:val="center"/>
          </w:tcPr>
          <w:p w:rsidR="00362B4E" w:rsidRPr="00834A06" w:rsidRDefault="00362B4E" w:rsidP="00362B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62B4E" w:rsidRPr="00834A06" w:rsidRDefault="00362B4E" w:rsidP="00362B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</w:tcBorders>
            <w:vAlign w:val="center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vAlign w:val="center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на 2019 год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достижении (причина отклонения)</w:t>
            </w:r>
          </w:p>
        </w:tc>
      </w:tr>
      <w:tr w:rsidR="00362B4E" w:rsidRPr="00834A06" w:rsidTr="00362B4E">
        <w:trPr>
          <w:trHeight w:val="275"/>
          <w:jc w:val="center"/>
        </w:trPr>
        <w:tc>
          <w:tcPr>
            <w:tcW w:w="1390" w:type="dxa"/>
            <w:vMerge/>
            <w:vAlign w:val="center"/>
          </w:tcPr>
          <w:p w:rsidR="00362B4E" w:rsidRPr="00834A06" w:rsidRDefault="00362B4E" w:rsidP="00362B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6" w:type="dxa"/>
            <w:vAlign w:val="center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5" w:type="dxa"/>
            <w:vAlign w:val="center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008" w:type="dxa"/>
            <w:vAlign w:val="center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47" w:type="dxa"/>
            <w:vMerge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vMerge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2B4E" w:rsidRPr="00834A06" w:rsidTr="00362B4E">
        <w:trPr>
          <w:trHeight w:val="270"/>
          <w:jc w:val="center"/>
        </w:trPr>
        <w:tc>
          <w:tcPr>
            <w:tcW w:w="1390" w:type="dxa"/>
            <w:vAlign w:val="center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center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5" w:type="dxa"/>
            <w:vAlign w:val="center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8" w:type="dxa"/>
            <w:vAlign w:val="center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47" w:type="dxa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47" w:type="dxa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62B4E" w:rsidRPr="00834A06" w:rsidTr="00362B4E">
        <w:trPr>
          <w:trHeight w:val="596"/>
          <w:jc w:val="center"/>
        </w:trPr>
        <w:tc>
          <w:tcPr>
            <w:tcW w:w="1390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87" w:type="dxa"/>
          </w:tcPr>
          <w:p w:rsidR="00362B4E" w:rsidRPr="00834A06" w:rsidRDefault="00362B4E" w:rsidP="00362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Доля уличных преступлений в числе зарегистрированных общеуголовных преступлений</w:t>
            </w:r>
            <w:proofErr w:type="gramStart"/>
            <w:r w:rsidRPr="00834A0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66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75" w:type="dxa"/>
          </w:tcPr>
          <w:p w:rsidR="00362B4E" w:rsidRPr="00834A06" w:rsidRDefault="00362B4E" w:rsidP="00362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008" w:type="dxa"/>
          </w:tcPr>
          <w:p w:rsidR="00362B4E" w:rsidRPr="00834A06" w:rsidRDefault="00362B4E" w:rsidP="00362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547" w:type="dxa"/>
          </w:tcPr>
          <w:p w:rsidR="00362B4E" w:rsidRPr="00834A06" w:rsidRDefault="00362B4E" w:rsidP="00362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  <w:tc>
          <w:tcPr>
            <w:tcW w:w="1547" w:type="dxa"/>
          </w:tcPr>
          <w:p w:rsidR="00362B4E" w:rsidRPr="00834A06" w:rsidRDefault="00362B4E" w:rsidP="00362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 (показатель нацелен на снижение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уличной преступности)</w:t>
            </w:r>
          </w:p>
        </w:tc>
      </w:tr>
      <w:tr w:rsidR="00362B4E" w:rsidRPr="00834A06" w:rsidTr="00362B4E">
        <w:trPr>
          <w:trHeight w:val="1127"/>
          <w:jc w:val="center"/>
        </w:trPr>
        <w:tc>
          <w:tcPr>
            <w:tcW w:w="1390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87" w:type="dxa"/>
          </w:tcPr>
          <w:p w:rsidR="00362B4E" w:rsidRPr="00834A06" w:rsidRDefault="00362B4E" w:rsidP="00362B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 xml:space="preserve">Доля административных правонарушений, предусмотренных ст. 12.9, 12.12, 12.16, 12.19 КоАП РФ, выявленных с помощью технических </w:t>
            </w: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</w:t>
            </w:r>
            <w:proofErr w:type="spellStart"/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работающих в автоматическом режиме, в общем количестве таких правонарушений, %</w:t>
            </w:r>
          </w:p>
        </w:tc>
        <w:tc>
          <w:tcPr>
            <w:tcW w:w="966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5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8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7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7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 </w:t>
            </w:r>
          </w:p>
        </w:tc>
      </w:tr>
      <w:tr w:rsidR="00362B4E" w:rsidRPr="00834A06" w:rsidTr="00362B4E">
        <w:trPr>
          <w:trHeight w:val="299"/>
          <w:jc w:val="center"/>
        </w:trPr>
        <w:tc>
          <w:tcPr>
            <w:tcW w:w="1390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87" w:type="dxa"/>
          </w:tcPr>
          <w:p w:rsidR="00362B4E" w:rsidRPr="00834A06" w:rsidRDefault="00362B4E" w:rsidP="00362B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распространенных  видов продукции (</w:t>
            </w:r>
            <w:proofErr w:type="spellStart"/>
            <w:proofErr w:type="gramStart"/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7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7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362B4E" w:rsidRPr="00834A06" w:rsidTr="00362B4E">
        <w:trPr>
          <w:trHeight w:val="842"/>
          <w:jc w:val="center"/>
        </w:trPr>
        <w:tc>
          <w:tcPr>
            <w:tcW w:w="1390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87" w:type="dxa"/>
          </w:tcPr>
          <w:p w:rsidR="00362B4E" w:rsidRPr="00834A06" w:rsidRDefault="00362B4E" w:rsidP="00362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вовлеченных в профилактические мероприятия, по отношению  к общей численности населения данной категории</w:t>
            </w:r>
            <w:proofErr w:type="gramStart"/>
            <w:r w:rsidRPr="00834A0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66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75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008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47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+0,7</w:t>
            </w:r>
          </w:p>
        </w:tc>
        <w:tc>
          <w:tcPr>
            <w:tcW w:w="1547" w:type="dxa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 (показатель нацелен на увеличение охвата несовершеннолетних)</w:t>
            </w:r>
          </w:p>
        </w:tc>
      </w:tr>
      <w:tr w:rsidR="00362B4E" w:rsidRPr="00834A06" w:rsidTr="00362B4E">
        <w:trPr>
          <w:trHeight w:val="591"/>
          <w:jc w:val="center"/>
        </w:trPr>
        <w:tc>
          <w:tcPr>
            <w:tcW w:w="1390" w:type="dxa"/>
            <w:shd w:val="clear" w:color="auto" w:fill="FFFFFF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7" w:type="dxa"/>
            <w:shd w:val="clear" w:color="auto" w:fill="FFFFFF"/>
          </w:tcPr>
          <w:p w:rsidR="00362B4E" w:rsidRPr="00834A06" w:rsidRDefault="00362B4E" w:rsidP="00362B4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Общая распространенность наркомании (на 100 тыс. населения)</w:t>
            </w:r>
          </w:p>
        </w:tc>
        <w:tc>
          <w:tcPr>
            <w:tcW w:w="966" w:type="dxa"/>
            <w:shd w:val="clear" w:color="auto" w:fill="FFFFFF"/>
          </w:tcPr>
          <w:p w:rsidR="00362B4E" w:rsidRPr="00834A06" w:rsidRDefault="008E3317" w:rsidP="00362B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  <w:bookmarkStart w:id="0" w:name="_GoBack"/>
            <w:bookmarkEnd w:id="0"/>
          </w:p>
        </w:tc>
        <w:tc>
          <w:tcPr>
            <w:tcW w:w="975" w:type="dxa"/>
            <w:shd w:val="clear" w:color="auto" w:fill="FFFFFF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008" w:type="dxa"/>
            <w:shd w:val="clear" w:color="auto" w:fill="FFFFFF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46,5</w:t>
            </w:r>
          </w:p>
        </w:tc>
        <w:tc>
          <w:tcPr>
            <w:tcW w:w="1547" w:type="dxa"/>
            <w:shd w:val="clear" w:color="auto" w:fill="FFFFFF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-54,5</w:t>
            </w:r>
          </w:p>
        </w:tc>
        <w:tc>
          <w:tcPr>
            <w:tcW w:w="1547" w:type="dxa"/>
            <w:shd w:val="clear" w:color="auto" w:fill="FFFFFF"/>
          </w:tcPr>
          <w:p w:rsidR="00362B4E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(показатель нацелен на снижение уровня заболеваемости наркоманией)</w:t>
            </w:r>
          </w:p>
        </w:tc>
      </w:tr>
      <w:tr w:rsidR="00362B4E" w:rsidRPr="00834A06" w:rsidTr="00362B4E">
        <w:trPr>
          <w:trHeight w:val="591"/>
          <w:jc w:val="center"/>
        </w:trPr>
        <w:tc>
          <w:tcPr>
            <w:tcW w:w="1390" w:type="dxa"/>
            <w:shd w:val="clear" w:color="auto" w:fill="FFFFFF"/>
          </w:tcPr>
          <w:p w:rsidR="00362B4E" w:rsidRPr="00834A06" w:rsidRDefault="00362B4E" w:rsidP="00362B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87" w:type="dxa"/>
            <w:shd w:val="clear" w:color="auto" w:fill="FFFFFF"/>
          </w:tcPr>
          <w:p w:rsidR="00362B4E" w:rsidRPr="00834A06" w:rsidRDefault="00362B4E" w:rsidP="00362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преступности (число зарегистрированных преступлений на 100 тыс.), </w:t>
            </w:r>
            <w:proofErr w:type="spellStart"/>
            <w:proofErr w:type="gramStart"/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66" w:type="dxa"/>
            <w:shd w:val="clear" w:color="auto" w:fill="FFFFFF"/>
          </w:tcPr>
          <w:p w:rsidR="00362B4E" w:rsidRPr="00834A06" w:rsidRDefault="00362B4E" w:rsidP="00362B4E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1101,4</w:t>
            </w:r>
          </w:p>
        </w:tc>
        <w:tc>
          <w:tcPr>
            <w:tcW w:w="975" w:type="dxa"/>
            <w:shd w:val="clear" w:color="auto" w:fill="FFFFFF"/>
          </w:tcPr>
          <w:p w:rsidR="00362B4E" w:rsidRPr="00834A06" w:rsidRDefault="00362B4E" w:rsidP="00362B4E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</w:rPr>
              <w:t>1004,1</w:t>
            </w:r>
          </w:p>
        </w:tc>
        <w:tc>
          <w:tcPr>
            <w:tcW w:w="1008" w:type="dxa"/>
            <w:shd w:val="clear" w:color="auto" w:fill="FFFFFF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4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547" w:type="dxa"/>
            <w:shd w:val="clear" w:color="auto" w:fill="FFFFFF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-8,9</w:t>
            </w:r>
          </w:p>
        </w:tc>
        <w:tc>
          <w:tcPr>
            <w:tcW w:w="1547" w:type="dxa"/>
            <w:shd w:val="clear" w:color="auto" w:fill="FFFFFF"/>
          </w:tcPr>
          <w:p w:rsidR="00362B4E" w:rsidRPr="00834A06" w:rsidRDefault="00362B4E" w:rsidP="00362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 (показатель нацелен на снижение уровня преступности)</w:t>
            </w:r>
          </w:p>
        </w:tc>
      </w:tr>
    </w:tbl>
    <w:p w:rsidR="00834A06" w:rsidRPr="00EE750A" w:rsidRDefault="00834A06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8464D" w:rsidRDefault="00B8464D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Муниципальной программы не предусмотрено строительство</w:t>
      </w:r>
      <w:r w:rsidR="003E198B" w:rsidRPr="003E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модернизация (реконструкция)</w:t>
      </w:r>
      <w:r w:rsidRPr="003E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строительства.</w:t>
      </w:r>
    </w:p>
    <w:p w:rsidR="00307654" w:rsidRPr="003E198B" w:rsidRDefault="00307654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54" w:rsidRDefault="00307654" w:rsidP="00307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конкурсных процедур при заключении муниципальных контрактов сложилась экономия по основному мероприятию 1.4. «</w:t>
      </w:r>
      <w:r w:rsidRPr="002F26FF">
        <w:rPr>
          <w:rFonts w:ascii="Times New Roman" w:hAnsi="Times New Roman" w:cs="Times New Roman"/>
          <w:sz w:val="24"/>
          <w:szCs w:val="24"/>
        </w:rPr>
        <w:t>Правовое просвещение и информирование в сфере  профилактики правонарушений</w:t>
      </w:r>
      <w:r>
        <w:rPr>
          <w:rFonts w:ascii="Times New Roman" w:hAnsi="Times New Roman" w:cs="Times New Roman"/>
          <w:sz w:val="24"/>
          <w:szCs w:val="24"/>
        </w:rPr>
        <w:t>» в размере 3,65 рублей.</w:t>
      </w:r>
    </w:p>
    <w:p w:rsidR="00307654" w:rsidRPr="00307654" w:rsidRDefault="00307654" w:rsidP="00307654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54">
        <w:rPr>
          <w:rFonts w:ascii="Times New Roman" w:hAnsi="Times New Roman" w:cs="Times New Roman"/>
          <w:sz w:val="24"/>
          <w:szCs w:val="24"/>
        </w:rPr>
        <w:t xml:space="preserve">В связи с несвоевременной оплатой услуг, оказанных в рамках муниципальных контрактов, в декабре 2019 года возникла кредиторская задолженность, в частности: </w:t>
      </w:r>
    </w:p>
    <w:p w:rsidR="00307654" w:rsidRPr="00307654" w:rsidRDefault="00307654" w:rsidP="00307654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54">
        <w:rPr>
          <w:rFonts w:ascii="Times New Roman" w:hAnsi="Times New Roman" w:cs="Times New Roman"/>
          <w:color w:val="000000"/>
          <w:sz w:val="24"/>
          <w:szCs w:val="24"/>
        </w:rPr>
        <w:t>Подпрограмма 1 «Профилактика правонарушений»</w:t>
      </w:r>
    </w:p>
    <w:p w:rsidR="00307654" w:rsidRPr="00307654" w:rsidRDefault="00307654" w:rsidP="00307654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54">
        <w:rPr>
          <w:rFonts w:ascii="Times New Roman" w:hAnsi="Times New Roman" w:cs="Times New Roman"/>
          <w:color w:val="000000"/>
          <w:sz w:val="24"/>
          <w:szCs w:val="24"/>
        </w:rPr>
        <w:t>Основное мероприятие 1.2. «Обеспечение функционирования и развития систем видеонаблюдения в сфере безопасности дорожного движения, информирования населения»:</w:t>
      </w:r>
    </w:p>
    <w:p w:rsidR="00307654" w:rsidRPr="00307654" w:rsidRDefault="00307654" w:rsidP="00307654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муниципальный контракт от 03.10.2019 №64 на оказание услуг связи, по которому принято бюджетное обязательство №13992. Универсальные передаточные акты от 30.11.2019 №2662 на 7,0 </w:t>
      </w:r>
      <w:proofErr w:type="spell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07654">
        <w:rPr>
          <w:rFonts w:ascii="Times New Roman" w:hAnsi="Times New Roman" w:cs="Times New Roman"/>
          <w:color w:val="000000"/>
          <w:sz w:val="24"/>
          <w:szCs w:val="24"/>
        </w:rPr>
        <w:t>ублей</w:t>
      </w:r>
      <w:proofErr w:type="spellEnd"/>
      <w:r w:rsidRPr="00307654">
        <w:rPr>
          <w:rFonts w:ascii="Times New Roman" w:hAnsi="Times New Roman" w:cs="Times New Roman"/>
          <w:color w:val="000000"/>
          <w:sz w:val="24"/>
          <w:szCs w:val="24"/>
        </w:rPr>
        <w:t xml:space="preserve">, от 20.12.2019 №3052 на 7,0 </w:t>
      </w:r>
      <w:proofErr w:type="spell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 w:rsidRPr="003076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654" w:rsidRPr="00307654" w:rsidRDefault="00307654" w:rsidP="00307654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5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контракт от 07.12.2019 №0187300004519000531 на оказание услуг по ежегодной поверке камер </w:t>
      </w:r>
      <w:proofErr w:type="spell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фотовидеофиксации</w:t>
      </w:r>
      <w:proofErr w:type="spellEnd"/>
      <w:r w:rsidRPr="00307654">
        <w:rPr>
          <w:rFonts w:ascii="Times New Roman" w:hAnsi="Times New Roman" w:cs="Times New Roman"/>
          <w:color w:val="000000"/>
          <w:sz w:val="24"/>
          <w:szCs w:val="24"/>
        </w:rPr>
        <w:t xml:space="preserve">, по </w:t>
      </w:r>
      <w:proofErr w:type="gram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которому</w:t>
      </w:r>
      <w:proofErr w:type="gramEnd"/>
      <w:r w:rsidRPr="00307654">
        <w:rPr>
          <w:rFonts w:ascii="Times New Roman" w:hAnsi="Times New Roman" w:cs="Times New Roman"/>
          <w:color w:val="000000"/>
          <w:sz w:val="24"/>
          <w:szCs w:val="24"/>
        </w:rPr>
        <w:t xml:space="preserve"> принято бюджетное обязательство №17800. Универсальный пере</w:t>
      </w:r>
      <w:r>
        <w:rPr>
          <w:rFonts w:ascii="Times New Roman" w:hAnsi="Times New Roman" w:cs="Times New Roman"/>
          <w:color w:val="000000"/>
          <w:sz w:val="24"/>
          <w:szCs w:val="24"/>
        </w:rPr>
        <w:t>даточный акт от 16.12.2019 №17</w:t>
      </w:r>
      <w:r w:rsidRPr="003076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654" w:rsidRPr="00307654" w:rsidRDefault="00307654" w:rsidP="00307654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54">
        <w:rPr>
          <w:rFonts w:ascii="Times New Roman" w:hAnsi="Times New Roman" w:cs="Times New Roman"/>
          <w:color w:val="000000"/>
          <w:sz w:val="24"/>
          <w:szCs w:val="24"/>
        </w:rPr>
        <w:t xml:space="preserve"> Основное мероприятие 1.3 «Обеспечение функционирования и развития систем видеонаблюдения в сфере общественного порядка»:</w:t>
      </w:r>
    </w:p>
    <w:p w:rsidR="00307654" w:rsidRPr="00307654" w:rsidRDefault="00307654" w:rsidP="00307654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5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контракт от 01.09.2019 №50 на оказание услуг связи, по которому принято бюджетное обязательство №12666. Универсальные передаточные акты от 30.11.2019 №2841 на 8,0 </w:t>
      </w:r>
      <w:proofErr w:type="spell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07654">
        <w:rPr>
          <w:rFonts w:ascii="Times New Roman" w:hAnsi="Times New Roman" w:cs="Times New Roman"/>
          <w:color w:val="000000"/>
          <w:sz w:val="24"/>
          <w:szCs w:val="24"/>
        </w:rPr>
        <w:t>ублей</w:t>
      </w:r>
      <w:proofErr w:type="spellEnd"/>
      <w:r w:rsidRPr="00307654">
        <w:rPr>
          <w:rFonts w:ascii="Times New Roman" w:hAnsi="Times New Roman" w:cs="Times New Roman"/>
          <w:color w:val="000000"/>
          <w:sz w:val="24"/>
          <w:szCs w:val="24"/>
        </w:rPr>
        <w:t xml:space="preserve">, от 20.12.2019 №2885 на 8,0 </w:t>
      </w:r>
      <w:proofErr w:type="spell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 w:rsidRPr="0030765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07654" w:rsidRPr="00307654" w:rsidRDefault="00307654" w:rsidP="00307654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5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контракт от 03.10.2019 №62 на оказание услуг связи, по которому принято бюджетное обязательство №13991. Универсальные передаточные акты от 30.11.2019 №2842 на 10,0 </w:t>
      </w:r>
      <w:proofErr w:type="spell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07654">
        <w:rPr>
          <w:rFonts w:ascii="Times New Roman" w:hAnsi="Times New Roman" w:cs="Times New Roman"/>
          <w:color w:val="000000"/>
          <w:sz w:val="24"/>
          <w:szCs w:val="24"/>
        </w:rPr>
        <w:t>ублей</w:t>
      </w:r>
      <w:proofErr w:type="spellEnd"/>
      <w:r w:rsidRPr="00307654">
        <w:rPr>
          <w:rFonts w:ascii="Times New Roman" w:hAnsi="Times New Roman" w:cs="Times New Roman"/>
          <w:color w:val="000000"/>
          <w:sz w:val="24"/>
          <w:szCs w:val="24"/>
        </w:rPr>
        <w:t xml:space="preserve">, от 20.12.2019 №2886 на 10,0 </w:t>
      </w:r>
      <w:proofErr w:type="spell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 w:rsidRPr="00307654">
        <w:rPr>
          <w:rFonts w:ascii="Times New Roman" w:hAnsi="Times New Roman" w:cs="Times New Roman"/>
          <w:sz w:val="24"/>
          <w:szCs w:val="24"/>
        </w:rPr>
        <w:t>.</w:t>
      </w:r>
    </w:p>
    <w:p w:rsidR="00307654" w:rsidRPr="00307654" w:rsidRDefault="00307654" w:rsidP="00307654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07654">
        <w:rPr>
          <w:rFonts w:ascii="Times New Roman" w:hAnsi="Times New Roman" w:cs="Times New Roman"/>
          <w:sz w:val="24"/>
          <w:szCs w:val="24"/>
        </w:rPr>
        <w:t xml:space="preserve">В целях исполнения расходных обязательств, возникших в 2019 году в рамках муниципальных контрактов, </w:t>
      </w:r>
      <w:r>
        <w:rPr>
          <w:rFonts w:ascii="Times New Roman" w:hAnsi="Times New Roman" w:cs="Times New Roman"/>
          <w:sz w:val="24"/>
          <w:szCs w:val="24"/>
        </w:rPr>
        <w:t xml:space="preserve">была направлен заявка на </w:t>
      </w:r>
      <w:r w:rsidRPr="00307654">
        <w:rPr>
          <w:rFonts w:ascii="Times New Roman" w:hAnsi="Times New Roman" w:cs="Times New Roman"/>
          <w:sz w:val="24"/>
          <w:szCs w:val="24"/>
        </w:rPr>
        <w:t>выдел</w:t>
      </w:r>
      <w:r>
        <w:rPr>
          <w:rFonts w:ascii="Times New Roman" w:hAnsi="Times New Roman" w:cs="Times New Roman"/>
          <w:sz w:val="24"/>
          <w:szCs w:val="24"/>
        </w:rPr>
        <w:t>ение в 2020 году</w:t>
      </w:r>
      <w:r w:rsidRPr="00307654">
        <w:rPr>
          <w:rFonts w:ascii="Times New Roman" w:hAnsi="Times New Roman" w:cs="Times New Roman"/>
          <w:sz w:val="24"/>
          <w:szCs w:val="24"/>
        </w:rPr>
        <w:t xml:space="preserve"> из бюджета города Мегиона дополнительны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07654">
        <w:rPr>
          <w:rFonts w:ascii="Times New Roman" w:hAnsi="Times New Roman" w:cs="Times New Roman"/>
          <w:sz w:val="24"/>
          <w:szCs w:val="24"/>
        </w:rPr>
        <w:t xml:space="preserve"> средств на финансирование мероприятий подпрограммы 1 «Профилактика правонарушений» муниципальной программы </w:t>
      </w:r>
      <w:r w:rsidRPr="00307654">
        <w:rPr>
          <w:rFonts w:ascii="Times New Roman" w:hAnsi="Times New Roman" w:cs="Times New Roman"/>
          <w:bCs/>
          <w:sz w:val="24"/>
          <w:szCs w:val="24"/>
        </w:rPr>
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городском округе город Мегион на 2019</w:t>
      </w:r>
      <w:r w:rsidRPr="00307654">
        <w:rPr>
          <w:rFonts w:ascii="Times New Roman" w:hAnsi="Times New Roman" w:cs="Times New Roman"/>
          <w:sz w:val="24"/>
          <w:szCs w:val="24"/>
        </w:rPr>
        <w:t>–</w:t>
      </w:r>
      <w:r w:rsidRPr="00307654">
        <w:rPr>
          <w:rFonts w:ascii="Times New Roman" w:hAnsi="Times New Roman" w:cs="Times New Roman"/>
          <w:bCs/>
          <w:sz w:val="24"/>
          <w:szCs w:val="24"/>
        </w:rPr>
        <w:t>2025 годы», в том</w:t>
      </w:r>
      <w:proofErr w:type="gramEnd"/>
      <w:r w:rsidRPr="00307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07654">
        <w:rPr>
          <w:rFonts w:ascii="Times New Roman" w:hAnsi="Times New Roman" w:cs="Times New Roman"/>
          <w:bCs/>
          <w:sz w:val="24"/>
          <w:szCs w:val="24"/>
        </w:rPr>
        <w:t>числе</w:t>
      </w:r>
      <w:proofErr w:type="gramEnd"/>
      <w:r w:rsidRPr="00307654">
        <w:rPr>
          <w:rFonts w:ascii="Times New Roman" w:hAnsi="Times New Roman" w:cs="Times New Roman"/>
          <w:bCs/>
          <w:sz w:val="24"/>
          <w:szCs w:val="24"/>
        </w:rPr>
        <w:t>:</w:t>
      </w:r>
    </w:p>
    <w:p w:rsidR="00307654" w:rsidRPr="00307654" w:rsidRDefault="00307654" w:rsidP="00307654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654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мероприятие 1.2. «Обеспечение функционирования и развития систем видеонаблюдения в сфере безопасности дорожного движения, информирования населения» - 164 </w:t>
      </w:r>
      <w:proofErr w:type="spell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07654">
        <w:rPr>
          <w:rFonts w:ascii="Times New Roman" w:hAnsi="Times New Roman" w:cs="Times New Roman"/>
          <w:color w:val="000000"/>
          <w:sz w:val="24"/>
          <w:szCs w:val="24"/>
        </w:rPr>
        <w:t>ублей</w:t>
      </w:r>
      <w:proofErr w:type="spellEnd"/>
      <w:r w:rsidRPr="003076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654" w:rsidRPr="00307654" w:rsidRDefault="00307654" w:rsidP="00307654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654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мероприятие 1.3 «Обеспечение функционирования и развития систем видеонаблюдения в сфере общественного порядка» - 36 </w:t>
      </w:r>
      <w:proofErr w:type="spell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30765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07654">
        <w:rPr>
          <w:rFonts w:ascii="Times New Roman" w:hAnsi="Times New Roman" w:cs="Times New Roman"/>
          <w:color w:val="000000"/>
          <w:sz w:val="24"/>
          <w:szCs w:val="24"/>
        </w:rPr>
        <w:t>ублей</w:t>
      </w:r>
      <w:proofErr w:type="spellEnd"/>
      <w:r w:rsidRPr="003076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C4C" w:rsidRDefault="00976C4C" w:rsidP="003E1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7654" w:rsidRDefault="00307654" w:rsidP="003E19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необходимо внести корректировки в части перераспределения лимитов бюджетных ассигнований между мероприятиями подпрограммы 2 </w:t>
      </w:r>
      <w:r w:rsidR="00EB58EB" w:rsidRPr="00EB58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58EB" w:rsidRPr="00EB58E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незаконного оборота и потребления наркотических средств и психотропных веществ», в том числе:</w:t>
      </w:r>
    </w:p>
    <w:p w:rsidR="0090702C" w:rsidRPr="00EB58EB" w:rsidRDefault="0090702C" w:rsidP="003E19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843"/>
        <w:gridCol w:w="3794"/>
      </w:tblGrid>
      <w:tr w:rsidR="00EB58EB" w:rsidRPr="00EB58EB" w:rsidTr="0090702C">
        <w:tc>
          <w:tcPr>
            <w:tcW w:w="2376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701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2020 год (</w:t>
            </w:r>
            <w:proofErr w:type="spellStart"/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корректировки (</w:t>
            </w:r>
            <w:proofErr w:type="spellStart"/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4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</w:t>
            </w:r>
          </w:p>
        </w:tc>
      </w:tr>
      <w:tr w:rsidR="00EB58EB" w:rsidRPr="00EB58EB" w:rsidTr="0090702C">
        <w:tc>
          <w:tcPr>
            <w:tcW w:w="2376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hAnsi="Times New Roman" w:cs="Times New Roman"/>
                <w:sz w:val="24"/>
                <w:szCs w:val="24"/>
              </w:rPr>
              <w:t>2.1.Развитие профилактической антинаркотической деятельности</w:t>
            </w:r>
          </w:p>
        </w:tc>
        <w:tc>
          <w:tcPr>
            <w:tcW w:w="1701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 (-19,0)</w:t>
            </w:r>
          </w:p>
        </w:tc>
        <w:tc>
          <w:tcPr>
            <w:tcW w:w="3794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8EB" w:rsidRPr="00EB58EB" w:rsidTr="0090702C">
        <w:tc>
          <w:tcPr>
            <w:tcW w:w="2376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EB58EB">
              <w:t xml:space="preserve"> </w:t>
            </w:r>
            <w:r w:rsidRPr="00EB58E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антинаркотической политики, просветительских мероприятий</w:t>
            </w:r>
          </w:p>
        </w:tc>
        <w:tc>
          <w:tcPr>
            <w:tcW w:w="1701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 (+19,0)</w:t>
            </w:r>
          </w:p>
        </w:tc>
        <w:tc>
          <w:tcPr>
            <w:tcW w:w="3794" w:type="dxa"/>
          </w:tcPr>
          <w:p w:rsidR="001C5268" w:rsidRPr="0090702C" w:rsidRDefault="00A412BD" w:rsidP="001C5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6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</w:t>
            </w:r>
            <w:r w:rsidR="001C5268" w:rsidRPr="001C5268">
              <w:rPr>
                <w:rFonts w:ascii="Times New Roman" w:hAnsi="Times New Roman" w:cs="Times New Roman"/>
                <w:sz w:val="24"/>
                <w:szCs w:val="24"/>
              </w:rPr>
              <w:t xml:space="preserve">ых антинаркотических компаний </w:t>
            </w:r>
            <w:r w:rsidR="001C5268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90702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направлениями государственной </w:t>
            </w:r>
            <w:r w:rsidR="0090702C" w:rsidRPr="0090702C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политики, утверждёнными </w:t>
            </w:r>
          </w:p>
          <w:p w:rsidR="001C5268" w:rsidRPr="001C5268" w:rsidRDefault="001C5268" w:rsidP="00907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02C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90702C" w:rsidRPr="0090702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0702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</w:t>
            </w:r>
            <w:r w:rsidRPr="0090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 w:rsidRPr="0090702C">
              <w:rPr>
                <w:rFonts w:ascii="Times New Roman" w:hAnsi="Times New Roman" w:cs="Times New Roman"/>
                <w:sz w:val="24"/>
                <w:szCs w:val="24"/>
              </w:rPr>
              <w:t>от 09.06.2010 №690 «Об утверждении Стратегии государственной антинаркотической политики Рос</w:t>
            </w:r>
            <w:r w:rsidR="0090702C">
              <w:rPr>
                <w:rFonts w:ascii="Times New Roman" w:hAnsi="Times New Roman" w:cs="Times New Roman"/>
                <w:sz w:val="24"/>
                <w:szCs w:val="24"/>
              </w:rPr>
              <w:t>сийской Федерации до 2020 года».</w:t>
            </w:r>
          </w:p>
        </w:tc>
      </w:tr>
      <w:tr w:rsidR="00EB58EB" w:rsidRPr="00EB58EB" w:rsidTr="0090702C">
        <w:tc>
          <w:tcPr>
            <w:tcW w:w="2376" w:type="dxa"/>
          </w:tcPr>
          <w:p w:rsidR="00EB58EB" w:rsidRPr="00EB58EB" w:rsidRDefault="00EB58EB" w:rsidP="00EB5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  <w:p w:rsidR="00EB58EB" w:rsidRPr="00EB58EB" w:rsidRDefault="00EB58EB" w:rsidP="00EB5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подпрограмме</w:t>
            </w:r>
          </w:p>
        </w:tc>
        <w:tc>
          <w:tcPr>
            <w:tcW w:w="1701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794" w:type="dxa"/>
          </w:tcPr>
          <w:p w:rsidR="00EB58EB" w:rsidRPr="00EB58EB" w:rsidRDefault="00EB58EB" w:rsidP="003E1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8EB" w:rsidRPr="00EB58EB" w:rsidRDefault="00EB58EB" w:rsidP="003E1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2BD" w:rsidRDefault="00A412BD" w:rsidP="00A4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в 2019 году направлена повышение уровня безопасности населения в сфере профилактики правонарушений, в том числе:</w:t>
      </w:r>
    </w:p>
    <w:p w:rsidR="00A412BD" w:rsidRDefault="00A412BD" w:rsidP="00A4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412BD">
        <w:rPr>
          <w:rFonts w:ascii="Times New Roman" w:hAnsi="Times New Roman" w:cs="Times New Roman"/>
          <w:sz w:val="24"/>
          <w:szCs w:val="24"/>
        </w:rPr>
        <w:t>беспечение общественного порядка, профилактик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12BD">
        <w:rPr>
          <w:rFonts w:ascii="Times New Roman" w:hAnsi="Times New Roman" w:cs="Times New Roman"/>
          <w:sz w:val="24"/>
          <w:szCs w:val="24"/>
        </w:rPr>
        <w:t xml:space="preserve"> правонарушений;</w:t>
      </w:r>
    </w:p>
    <w:p w:rsidR="00A412BD" w:rsidRDefault="00A412BD" w:rsidP="00A4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412BD">
        <w:rPr>
          <w:rFonts w:ascii="Times New Roman" w:hAnsi="Times New Roman" w:cs="Times New Roman"/>
          <w:color w:val="000000"/>
          <w:sz w:val="24"/>
          <w:szCs w:val="24"/>
        </w:rPr>
        <w:t>рганизационное, нормативное правовое и ресурсное обеспечение антинаркотической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41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2BD" w:rsidRPr="00A412BD" w:rsidRDefault="00A412BD" w:rsidP="00A4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412BD">
        <w:rPr>
          <w:rFonts w:ascii="Times New Roman" w:hAnsi="Times New Roman" w:cs="Times New Roman"/>
          <w:sz w:val="24"/>
          <w:szCs w:val="24"/>
        </w:rPr>
        <w:t>беспечение прав граждан в отдельных сферах жизнедеятельности</w:t>
      </w:r>
      <w:r w:rsidR="0090702C">
        <w:rPr>
          <w:rFonts w:ascii="Times New Roman" w:hAnsi="Times New Roman" w:cs="Times New Roman"/>
          <w:sz w:val="24"/>
          <w:szCs w:val="24"/>
        </w:rPr>
        <w:t>.</w:t>
      </w:r>
    </w:p>
    <w:p w:rsidR="00A412BD" w:rsidRPr="00A412BD" w:rsidRDefault="00A412BD" w:rsidP="00A4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мероприятий были достигнуты </w:t>
      </w:r>
      <w:r w:rsidR="006C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значения стратегических </w:t>
      </w:r>
      <w:r w:rsidRPr="00A412BD">
        <w:rPr>
          <w:rFonts w:ascii="Times New Roman" w:hAnsi="Times New Roman" w:cs="Times New Roman"/>
          <w:bCs/>
          <w:sz w:val="24"/>
          <w:szCs w:val="24"/>
        </w:rPr>
        <w:t>показател</w:t>
      </w:r>
      <w:r w:rsidR="006C622C">
        <w:rPr>
          <w:rFonts w:ascii="Times New Roman" w:hAnsi="Times New Roman" w:cs="Times New Roman"/>
          <w:bCs/>
          <w:sz w:val="24"/>
          <w:szCs w:val="24"/>
        </w:rPr>
        <w:t>ей</w:t>
      </w:r>
      <w:r w:rsidRPr="00A412BD">
        <w:rPr>
          <w:rFonts w:ascii="Times New Roman" w:hAnsi="Times New Roman" w:cs="Times New Roman"/>
          <w:bCs/>
          <w:sz w:val="24"/>
          <w:szCs w:val="24"/>
        </w:rPr>
        <w:t>:</w:t>
      </w:r>
    </w:p>
    <w:p w:rsidR="001A7A64" w:rsidRPr="00A412BD" w:rsidRDefault="00A412BD" w:rsidP="00A412B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464D" w:rsidRPr="00A412BD">
        <w:rPr>
          <w:rFonts w:ascii="Times New Roman" w:hAnsi="Times New Roman" w:cs="Times New Roman"/>
          <w:sz w:val="24"/>
          <w:szCs w:val="24"/>
        </w:rPr>
        <w:t xml:space="preserve">Уровень преступности (число зарегистрированных преступлений на 100 тыс.), </w:t>
      </w:r>
      <w:proofErr w:type="spellStart"/>
      <w:proofErr w:type="gramStart"/>
      <w:r w:rsidR="00B8464D" w:rsidRPr="00A412BD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A7A64" w:rsidRDefault="00A412BD" w:rsidP="00A412B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464D" w:rsidRPr="00A412BD">
        <w:rPr>
          <w:rFonts w:ascii="Times New Roman" w:hAnsi="Times New Roman" w:cs="Times New Roman"/>
          <w:sz w:val="24"/>
          <w:szCs w:val="24"/>
        </w:rPr>
        <w:t>Общая распространенность наркомании (на 100 тыс. населения)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A7A64" w:rsidRDefault="001A7A64" w:rsidP="009F4FB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12BD" w:rsidRPr="00EE750A" w:rsidRDefault="00A412BD" w:rsidP="00A4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412BD" w:rsidRDefault="00A412BD" w:rsidP="00A412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7A64" w:rsidRPr="009F4FB9" w:rsidRDefault="001A7A64" w:rsidP="009F4FB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1A7A64" w:rsidRPr="009F4FB9" w:rsidSect="00877A3B">
      <w:footerReference w:type="default" r:id="rId8"/>
      <w:footerReference w:type="first" r:id="rId9"/>
      <w:pgSz w:w="11906" w:h="16838"/>
      <w:pgMar w:top="1135" w:right="849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8B" w:rsidRDefault="00C37A8B" w:rsidP="00617B40">
      <w:pPr>
        <w:spacing w:after="0" w:line="240" w:lineRule="auto"/>
      </w:pPr>
      <w:r>
        <w:separator/>
      </w:r>
    </w:p>
  </w:endnote>
  <w:endnote w:type="continuationSeparator" w:id="0">
    <w:p w:rsidR="00C37A8B" w:rsidRDefault="00C37A8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606490"/>
      <w:placeholder>
        <w:docPart w:val="4B3435213662419A8E4E63A4679A053E"/>
      </w:placeholder>
      <w:temporary/>
      <w:showingPlcHdr/>
    </w:sdtPr>
    <w:sdtEndPr/>
    <w:sdtContent>
      <w:p w:rsidR="00BE2F61" w:rsidRDefault="00BE2F61">
        <w:pPr>
          <w:pStyle w:val="a8"/>
        </w:pPr>
        <w:r>
          <w:t>[Введите текст]</w:t>
        </w:r>
      </w:p>
    </w:sdtContent>
  </w:sdt>
  <w:p w:rsidR="00BE2F61" w:rsidRDefault="00BE2F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61" w:rsidRPr="00343BF0" w:rsidRDefault="00BE2F61" w:rsidP="00B4611A">
    <w:pPr>
      <w:shd w:val="clear" w:color="auto" w:fill="FFFFFF"/>
      <w:spacing w:after="0" w:line="240" w:lineRule="auto"/>
      <w:rPr>
        <w:rFonts w:ascii="Times New Roman" w:hAnsi="Times New Roman" w:cs="Times New Roman"/>
        <w:bCs/>
        <w:sz w:val="20"/>
        <w:szCs w:val="20"/>
      </w:rPr>
    </w:pPr>
    <w:r w:rsidRPr="00343BF0">
      <w:rPr>
        <w:rFonts w:ascii="Times New Roman" w:hAnsi="Times New Roman" w:cs="Times New Roman"/>
        <w:bCs/>
        <w:sz w:val="20"/>
        <w:szCs w:val="20"/>
      </w:rPr>
      <w:t>Исполнитель:</w:t>
    </w:r>
  </w:p>
  <w:p w:rsidR="00BE2F61" w:rsidRPr="00343BF0" w:rsidRDefault="00BE2F61" w:rsidP="00B4611A">
    <w:pPr>
      <w:pStyle w:val="aa"/>
      <w:spacing w:after="0" w:line="240" w:lineRule="auto"/>
      <w:ind w:left="0"/>
      <w:rPr>
        <w:rFonts w:ascii="Times New Roman" w:hAnsi="Times New Roman"/>
        <w:bCs/>
        <w:sz w:val="20"/>
        <w:szCs w:val="20"/>
        <w:lang w:val="ru-RU"/>
      </w:rPr>
    </w:pPr>
    <w:r>
      <w:rPr>
        <w:rFonts w:ascii="Times New Roman" w:hAnsi="Times New Roman"/>
        <w:bCs/>
        <w:sz w:val="20"/>
        <w:szCs w:val="20"/>
        <w:lang w:val="ru-RU"/>
      </w:rPr>
      <w:t>Колосов Сергей Викторович</w:t>
    </w:r>
  </w:p>
  <w:p w:rsidR="00BE2F61" w:rsidRPr="00886731" w:rsidRDefault="00BE2F61" w:rsidP="00B4611A">
    <w:pPr>
      <w:pStyle w:val="ConsPlusTitle"/>
      <w:rPr>
        <w:bCs w:val="0"/>
      </w:rPr>
    </w:pPr>
    <w:r>
      <w:rPr>
        <w:b w:val="0"/>
        <w:sz w:val="20"/>
        <w:szCs w:val="20"/>
      </w:rPr>
      <w:t>Телефон: 8(34643) 96-347</w:t>
    </w:r>
  </w:p>
  <w:p w:rsidR="00BE2F61" w:rsidRDefault="00BE2F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8B" w:rsidRDefault="00C37A8B" w:rsidP="00617B40">
      <w:pPr>
        <w:spacing w:after="0" w:line="240" w:lineRule="auto"/>
      </w:pPr>
      <w:r>
        <w:separator/>
      </w:r>
    </w:p>
  </w:footnote>
  <w:footnote w:type="continuationSeparator" w:id="0">
    <w:p w:rsidR="00C37A8B" w:rsidRDefault="00C37A8B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1409"/>
    <w:rsid w:val="00012153"/>
    <w:rsid w:val="000553F6"/>
    <w:rsid w:val="000761C1"/>
    <w:rsid w:val="00094C89"/>
    <w:rsid w:val="000A20DE"/>
    <w:rsid w:val="000B30E4"/>
    <w:rsid w:val="000B4C48"/>
    <w:rsid w:val="000B6BD3"/>
    <w:rsid w:val="000E1023"/>
    <w:rsid w:val="000E2AD9"/>
    <w:rsid w:val="000E3932"/>
    <w:rsid w:val="000F242D"/>
    <w:rsid w:val="00150967"/>
    <w:rsid w:val="00167936"/>
    <w:rsid w:val="00182B80"/>
    <w:rsid w:val="001847D2"/>
    <w:rsid w:val="0018600B"/>
    <w:rsid w:val="00186A59"/>
    <w:rsid w:val="001A7A64"/>
    <w:rsid w:val="001C5268"/>
    <w:rsid w:val="001C5C3F"/>
    <w:rsid w:val="00201AF2"/>
    <w:rsid w:val="002042E4"/>
    <w:rsid w:val="00225C7D"/>
    <w:rsid w:val="002300FD"/>
    <w:rsid w:val="00234040"/>
    <w:rsid w:val="002529F0"/>
    <w:rsid w:val="002A1F56"/>
    <w:rsid w:val="002A75A0"/>
    <w:rsid w:val="002D0994"/>
    <w:rsid w:val="002E3C1B"/>
    <w:rsid w:val="002F26FF"/>
    <w:rsid w:val="00301280"/>
    <w:rsid w:val="00307654"/>
    <w:rsid w:val="00343BF0"/>
    <w:rsid w:val="003624D8"/>
    <w:rsid w:val="00362B4E"/>
    <w:rsid w:val="00397EFC"/>
    <w:rsid w:val="003E198B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9293A"/>
    <w:rsid w:val="004B28BF"/>
    <w:rsid w:val="004C069C"/>
    <w:rsid w:val="004C7125"/>
    <w:rsid w:val="004F5136"/>
    <w:rsid w:val="004F72DA"/>
    <w:rsid w:val="004F7CDE"/>
    <w:rsid w:val="00532CA8"/>
    <w:rsid w:val="005439BD"/>
    <w:rsid w:val="00573067"/>
    <w:rsid w:val="00591591"/>
    <w:rsid w:val="005955D3"/>
    <w:rsid w:val="005A66B0"/>
    <w:rsid w:val="005B2935"/>
    <w:rsid w:val="005B7083"/>
    <w:rsid w:val="005F0864"/>
    <w:rsid w:val="00617B40"/>
    <w:rsid w:val="00623C81"/>
    <w:rsid w:val="00623DD4"/>
    <w:rsid w:val="00624276"/>
    <w:rsid w:val="00626321"/>
    <w:rsid w:val="00626ADB"/>
    <w:rsid w:val="00627A07"/>
    <w:rsid w:val="00636F28"/>
    <w:rsid w:val="0065059E"/>
    <w:rsid w:val="00655734"/>
    <w:rsid w:val="006615CF"/>
    <w:rsid w:val="006722F9"/>
    <w:rsid w:val="006A0B1A"/>
    <w:rsid w:val="006A5B30"/>
    <w:rsid w:val="006B1282"/>
    <w:rsid w:val="006C37AF"/>
    <w:rsid w:val="006C622C"/>
    <w:rsid w:val="006C77B8"/>
    <w:rsid w:val="006D18AE"/>
    <w:rsid w:val="006D495B"/>
    <w:rsid w:val="006E69D9"/>
    <w:rsid w:val="007248D1"/>
    <w:rsid w:val="007343BF"/>
    <w:rsid w:val="0077481C"/>
    <w:rsid w:val="00794190"/>
    <w:rsid w:val="007A0722"/>
    <w:rsid w:val="007B4779"/>
    <w:rsid w:val="007C5828"/>
    <w:rsid w:val="00805A4C"/>
    <w:rsid w:val="00822F9D"/>
    <w:rsid w:val="00834A06"/>
    <w:rsid w:val="00834BA7"/>
    <w:rsid w:val="008459BB"/>
    <w:rsid w:val="008524CD"/>
    <w:rsid w:val="0086129E"/>
    <w:rsid w:val="00877A3B"/>
    <w:rsid w:val="00886731"/>
    <w:rsid w:val="00887852"/>
    <w:rsid w:val="008C2ACB"/>
    <w:rsid w:val="008C659E"/>
    <w:rsid w:val="008D6252"/>
    <w:rsid w:val="008E3317"/>
    <w:rsid w:val="008E4601"/>
    <w:rsid w:val="008E729F"/>
    <w:rsid w:val="0090702C"/>
    <w:rsid w:val="00927695"/>
    <w:rsid w:val="00933810"/>
    <w:rsid w:val="00936D84"/>
    <w:rsid w:val="00943230"/>
    <w:rsid w:val="0096338B"/>
    <w:rsid w:val="00964131"/>
    <w:rsid w:val="00976C4C"/>
    <w:rsid w:val="009917B5"/>
    <w:rsid w:val="009A231B"/>
    <w:rsid w:val="009C0855"/>
    <w:rsid w:val="009C1751"/>
    <w:rsid w:val="009F4FB9"/>
    <w:rsid w:val="009F6EC2"/>
    <w:rsid w:val="00A114A6"/>
    <w:rsid w:val="00A14960"/>
    <w:rsid w:val="00A33D50"/>
    <w:rsid w:val="00A412BD"/>
    <w:rsid w:val="00AA649D"/>
    <w:rsid w:val="00AC16A7"/>
    <w:rsid w:val="00AC194A"/>
    <w:rsid w:val="00AD697A"/>
    <w:rsid w:val="00B17E67"/>
    <w:rsid w:val="00B2079F"/>
    <w:rsid w:val="00B2259C"/>
    <w:rsid w:val="00B35D6D"/>
    <w:rsid w:val="00B40499"/>
    <w:rsid w:val="00B41464"/>
    <w:rsid w:val="00B45F61"/>
    <w:rsid w:val="00B4611A"/>
    <w:rsid w:val="00B53A62"/>
    <w:rsid w:val="00B626AF"/>
    <w:rsid w:val="00B70268"/>
    <w:rsid w:val="00B76CD1"/>
    <w:rsid w:val="00B81A2D"/>
    <w:rsid w:val="00B8464D"/>
    <w:rsid w:val="00BB6639"/>
    <w:rsid w:val="00BC78DB"/>
    <w:rsid w:val="00BE2AF4"/>
    <w:rsid w:val="00BE2F61"/>
    <w:rsid w:val="00BF262A"/>
    <w:rsid w:val="00C002B4"/>
    <w:rsid w:val="00C048DE"/>
    <w:rsid w:val="00C16253"/>
    <w:rsid w:val="00C21D1F"/>
    <w:rsid w:val="00C239F1"/>
    <w:rsid w:val="00C36F0C"/>
    <w:rsid w:val="00C36F5A"/>
    <w:rsid w:val="00C37A8B"/>
    <w:rsid w:val="00C51F70"/>
    <w:rsid w:val="00C7412C"/>
    <w:rsid w:val="00C87B8A"/>
    <w:rsid w:val="00CA3F71"/>
    <w:rsid w:val="00CA7141"/>
    <w:rsid w:val="00CC7C2A"/>
    <w:rsid w:val="00CE28FD"/>
    <w:rsid w:val="00CF1BE3"/>
    <w:rsid w:val="00CF3794"/>
    <w:rsid w:val="00CF44D0"/>
    <w:rsid w:val="00CF744D"/>
    <w:rsid w:val="00D007DF"/>
    <w:rsid w:val="00D148B2"/>
    <w:rsid w:val="00D155CC"/>
    <w:rsid w:val="00D26095"/>
    <w:rsid w:val="00D36918"/>
    <w:rsid w:val="00D4701F"/>
    <w:rsid w:val="00D47A4F"/>
    <w:rsid w:val="00D53054"/>
    <w:rsid w:val="00D64FB3"/>
    <w:rsid w:val="00D8061E"/>
    <w:rsid w:val="00DB032D"/>
    <w:rsid w:val="00DC1E76"/>
    <w:rsid w:val="00DC2CD7"/>
    <w:rsid w:val="00DE12FA"/>
    <w:rsid w:val="00DE6F13"/>
    <w:rsid w:val="00DF4FEC"/>
    <w:rsid w:val="00E00BD1"/>
    <w:rsid w:val="00E024DC"/>
    <w:rsid w:val="00E05238"/>
    <w:rsid w:val="00E05262"/>
    <w:rsid w:val="00E26486"/>
    <w:rsid w:val="00E471C9"/>
    <w:rsid w:val="00E516F7"/>
    <w:rsid w:val="00E624C3"/>
    <w:rsid w:val="00E77DC7"/>
    <w:rsid w:val="00E82F4B"/>
    <w:rsid w:val="00EB1E27"/>
    <w:rsid w:val="00EB58EB"/>
    <w:rsid w:val="00EC66BA"/>
    <w:rsid w:val="00ED01A2"/>
    <w:rsid w:val="00ED5CFF"/>
    <w:rsid w:val="00EE71E6"/>
    <w:rsid w:val="00EE750A"/>
    <w:rsid w:val="00EF214F"/>
    <w:rsid w:val="00F114E8"/>
    <w:rsid w:val="00F153E9"/>
    <w:rsid w:val="00F155DA"/>
    <w:rsid w:val="00F262C9"/>
    <w:rsid w:val="00F449DF"/>
    <w:rsid w:val="00F55E37"/>
    <w:rsid w:val="00F765C7"/>
    <w:rsid w:val="00FA4CF5"/>
    <w:rsid w:val="00FB4A2C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E2F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2F4B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8C659E"/>
    <w:rPr>
      <w:b/>
      <w:bCs/>
    </w:rPr>
  </w:style>
  <w:style w:type="character" w:customStyle="1" w:styleId="30">
    <w:name w:val="Заголовок 3 Знак"/>
    <w:basedOn w:val="a0"/>
    <w:link w:val="3"/>
    <w:rsid w:val="00BE2F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90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E2F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2F4B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8C659E"/>
    <w:rPr>
      <w:b/>
      <w:bCs/>
    </w:rPr>
  </w:style>
  <w:style w:type="character" w:customStyle="1" w:styleId="30">
    <w:name w:val="Заголовок 3 Знак"/>
    <w:basedOn w:val="a0"/>
    <w:link w:val="3"/>
    <w:rsid w:val="00BE2F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90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3435213662419A8E4E63A4679A05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F1C22A-9A71-4DD1-A90F-14161F986F74}"/>
      </w:docPartPr>
      <w:docPartBody>
        <w:p w:rsidR="00B70982" w:rsidRDefault="00224127" w:rsidP="00224127">
          <w:pPr>
            <w:pStyle w:val="4B3435213662419A8E4E63A4679A053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27"/>
    <w:rsid w:val="000B4489"/>
    <w:rsid w:val="00151E5D"/>
    <w:rsid w:val="0018320A"/>
    <w:rsid w:val="00224127"/>
    <w:rsid w:val="00473FF0"/>
    <w:rsid w:val="005A6D24"/>
    <w:rsid w:val="00956C97"/>
    <w:rsid w:val="00990293"/>
    <w:rsid w:val="00B70982"/>
    <w:rsid w:val="00C8239F"/>
    <w:rsid w:val="00CA71AC"/>
    <w:rsid w:val="00E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358B6567E3490D80DFDC51E64BA486">
    <w:name w:val="E4358B6567E3490D80DFDC51E64BA486"/>
    <w:rsid w:val="00224127"/>
  </w:style>
  <w:style w:type="paragraph" w:customStyle="1" w:styleId="4B3435213662419A8E4E63A4679A053E">
    <w:name w:val="4B3435213662419A8E4E63A4679A053E"/>
    <w:rsid w:val="002241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358B6567E3490D80DFDC51E64BA486">
    <w:name w:val="E4358B6567E3490D80DFDC51E64BA486"/>
    <w:rsid w:val="00224127"/>
  </w:style>
  <w:style w:type="paragraph" w:customStyle="1" w:styleId="4B3435213662419A8E4E63A4679A053E">
    <w:name w:val="4B3435213662419A8E4E63A4679A053E"/>
    <w:rsid w:val="00224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7858-80CE-4587-9AA9-FFAAA39C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2020-02-04T07:59:00Z</dcterms:created>
  <dcterms:modified xsi:type="dcterms:W3CDTF">2020-03-27T10:24:00Z</dcterms:modified>
</cp:coreProperties>
</file>