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EC" w:rsidRPr="00A41CEC" w:rsidRDefault="00A41CEC" w:rsidP="00A41CEC">
      <w:pPr>
        <w:shd w:val="clear" w:color="auto" w:fill="FFFFFF"/>
        <w:spacing w:before="300" w:after="150"/>
        <w:jc w:val="left"/>
        <w:outlineLvl w:val="2"/>
        <w:rPr>
          <w:rFonts w:ascii="RobotoCondensed" w:eastAsia="Times New Roman" w:hAnsi="RobotoCondensed" w:cs="Times New Roman"/>
          <w:color w:val="333333"/>
          <w:sz w:val="36"/>
          <w:szCs w:val="36"/>
          <w:lang w:eastAsia="ru-RU"/>
        </w:rPr>
      </w:pPr>
      <w:bookmarkStart w:id="0" w:name="_GoBack"/>
      <w:r w:rsidRPr="00A41CEC">
        <w:rPr>
          <w:rFonts w:ascii="RobotoCondensed" w:eastAsia="Times New Roman" w:hAnsi="RobotoCondensed" w:cs="Times New Roman"/>
          <w:color w:val="333333"/>
          <w:sz w:val="36"/>
          <w:szCs w:val="36"/>
          <w:lang w:eastAsia="ru-RU"/>
        </w:rPr>
        <w:t>Методические рекомендации по порядку действий сотрудников средств массовой информации при установлении уровней террористической опасности на территории (отдельных участках территории, объектах) муниципального образования</w:t>
      </w:r>
      <w:bookmarkEnd w:id="0"/>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b/>
          <w:bCs/>
          <w:color w:val="333333"/>
          <w:sz w:val="23"/>
          <w:szCs w:val="23"/>
          <w:lang w:eastAsia="ru-RU"/>
        </w:rPr>
        <w:t>Правовые основания</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Согласно Указу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Распоряжения Губернатора автономного округа от 22 сентября 2012 года № 570-рп «О порядке действий исполнительных органов государственной власти, государственных органов Ханты-Мансийского автономного округа - Югры при установлении уровней террористической опасности на территории Ханты-Мансийского автономного округа – Югры», при установлении, изменении или отмене уровней террористической опасности на территории (отдельных участках территории) автономного округа руководству средств массовой информации следует предпринять необходимые меры для своевременного информирования населения о том, как вести себя в условиях угрозы совершения террористического акта.</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b/>
          <w:bCs/>
          <w:color w:val="333333"/>
          <w:sz w:val="23"/>
          <w:szCs w:val="23"/>
          <w:lang w:eastAsia="ru-RU"/>
        </w:rPr>
        <w:t>Порядок распространения информации</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При установлении (изменении или отмене) уровней террористической опасности на территории муниципалитета (объекта) порядок распространения информации и текст сообщения для информирования населения согласовывается на заседании постоянно действующей рабочей группы (далее – ПДРГ) по информационному сопровождению антитеррористической деятельности и информационному противодействию распространения идеологии терроризма при руководстве муниципалитета. Для местных и муниципальных средств массовой информации источником сведений по факту установления уровня опасности является вышеназванная ПДРГ.</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При получении информации об установлении (изменении или отмене) уровней террористической опасности на территории муниципалитета (объекта) руководитель средства массовой информации обязан предпринять необходимые действия для донесения информации до аудитории своего средства массовой информации.</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xml:space="preserve">При оповещении населения об установлении уровня опасности уместно напоминать о том, что режим уровня террористической опасности вводится не более чем на 15 дней. Руководству СМИ следует озаботиться доступностью размещаемой в СМИ информации по данной теме. Телекомпаниям, печатным и интернет-СМИ при сообщении о порядке установления уровней угрозы целесообразно использовать средства визуализации. Телевизионным, печатным и интернет-СМИ целесообразно </w:t>
      </w:r>
      <w:r w:rsidRPr="00A41CEC">
        <w:rPr>
          <w:rFonts w:ascii="Tahoma" w:eastAsia="Times New Roman" w:hAnsi="Tahoma" w:cs="Tahoma"/>
          <w:color w:val="333333"/>
          <w:sz w:val="23"/>
          <w:szCs w:val="23"/>
          <w:lang w:eastAsia="ru-RU"/>
        </w:rPr>
        <w:lastRenderedPageBreak/>
        <w:t>опубликовать рекомендации гражданам по действиям при угрозе совершения террористического акта.</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b/>
          <w:bCs/>
          <w:color w:val="333333"/>
          <w:sz w:val="23"/>
          <w:szCs w:val="23"/>
          <w:lang w:eastAsia="ru-RU"/>
        </w:rPr>
        <w:t>Порядок действий</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При установлении повышенного («синего») уровня угрозы террористической опасности на территории муниципалитета, руководству и сотрудникам СМИ местного и муниципального уровня следует:</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познакомить аудиторию своего СМИ с порядком установления уровней террористической опасности;</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известить о том, что «Синий» уровень вводится при поступлении оперативной информации о готовящемся теракте;</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информировать население о том, что при этом уровне от граждан не требуется никаких действий;</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напомнить о том, что в соответствии с регламентом, сотрудниками правоохранительных органов будут проводиться тренировки по отражению террористической угрозы.</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При установлении высокого («жёлтого») уровня угрозы, следует:</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предупредить население о возможности ужесточения мер контроля паспортного режима;</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предупредить об усилении охраны объектов жизнеобеспечения, введении контроля за передвижением транспорта через административные границы;</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рекомендовать вести себя с повышенной осмотрительностью, чтобы быть в состоянии помочь сотрудникам правоохранительных органов в установлении лиц и объектов, представляющих возможную угрозу;</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напомнить гражданам о том, как следует вести себя в условиях угрозы совершения террористического акта.</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При установлении критического («красного») уровня угрозы, руководству СМИ следует</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оперативно довести до населения информацию, связанную с установлением «Красного» уровня террористической угрозы, а также предупредить население о том, что правовой режим контртеррористической операции (КТО) обязывает правоохранительные органы к ужесточению мер контроля за ситуацией;</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 рекомендовать ограничить активность своих перемещений;</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lastRenderedPageBreak/>
        <w:t>- напомнить о необходимости обеспечения беспрепятственного доступа сотрудников правоохранительных органов в любые помещения.</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ПДРГ по информационному сопровождению антитеррористической деятельности и информационному противодействию распространения идеологии терроризма при руководстве муниципалитета следует определить механизм возможно более оперативного информирования населения по порядку действий в связи с установлением «Красного» уровня террористической угрозы.</w:t>
      </w:r>
    </w:p>
    <w:p w:rsidR="00A41CEC" w:rsidRPr="00A41CEC" w:rsidRDefault="00A41CEC" w:rsidP="00A41CEC">
      <w:pPr>
        <w:shd w:val="clear" w:color="auto" w:fill="FFFFFF"/>
        <w:spacing w:before="360" w:after="360"/>
        <w:jc w:val="left"/>
        <w:rPr>
          <w:rFonts w:ascii="Tahoma" w:eastAsia="Times New Roman" w:hAnsi="Tahoma" w:cs="Tahoma"/>
          <w:color w:val="333333"/>
          <w:sz w:val="23"/>
          <w:szCs w:val="23"/>
          <w:lang w:eastAsia="ru-RU"/>
        </w:rPr>
      </w:pPr>
      <w:r w:rsidRPr="00A41CEC">
        <w:rPr>
          <w:rFonts w:ascii="Tahoma" w:eastAsia="Times New Roman" w:hAnsi="Tahoma" w:cs="Tahoma"/>
          <w:color w:val="333333"/>
          <w:sz w:val="23"/>
          <w:szCs w:val="23"/>
          <w:lang w:eastAsia="ru-RU"/>
        </w:rPr>
        <w:t>Согласно Антитеррористической конвенции, принятой Индустриальным комитетом СМИ 8 апреля 2003 года, СМИ могут сообщать своей аудитории, что часть информации закрыта Оперативным Штабом на время проведения контртеррористической операции по соображениям безопасности для сохранения жизни людей.</w:t>
      </w:r>
    </w:p>
    <w:p w:rsidR="00CB289F" w:rsidRDefault="00CB289F"/>
    <w:sectPr w:rsidR="00CB2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Condense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EC"/>
    <w:rsid w:val="00412E62"/>
    <w:rsid w:val="00827C04"/>
    <w:rsid w:val="00A41CEC"/>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A7EB-405E-4006-8DEE-8938EBF3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styleId="a5">
    <w:name w:val="Normal (Web)"/>
    <w:basedOn w:val="a"/>
    <w:uiPriority w:val="99"/>
    <w:semiHidden/>
    <w:unhideWhenUsed/>
    <w:rsid w:val="00A41CEC"/>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2022-08-05T09:15:00Z</dcterms:created>
  <dcterms:modified xsi:type="dcterms:W3CDTF">2022-08-05T09:16:00Z</dcterms:modified>
</cp:coreProperties>
</file>