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AB" w:rsidRDefault="00C44C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4CAB" w:rsidRDefault="00C44CAB">
      <w:pPr>
        <w:pStyle w:val="ConsPlusNormal"/>
        <w:jc w:val="both"/>
        <w:outlineLvl w:val="0"/>
      </w:pPr>
    </w:p>
    <w:p w:rsidR="00C44CAB" w:rsidRDefault="00C44CAB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26 января 2022 г. N RU863030002022001</w:t>
      </w:r>
    </w:p>
    <w:p w:rsidR="00C44CAB" w:rsidRDefault="00C44C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Title"/>
        <w:jc w:val="center"/>
      </w:pPr>
      <w:r>
        <w:t>ДУМА ГОРОДА МЕГИОНА</w:t>
      </w:r>
    </w:p>
    <w:p w:rsidR="00C44CAB" w:rsidRDefault="00C44CAB">
      <w:pPr>
        <w:pStyle w:val="ConsPlusTitle"/>
        <w:jc w:val="center"/>
      </w:pPr>
    </w:p>
    <w:p w:rsidR="00C44CAB" w:rsidRDefault="00C44CAB">
      <w:pPr>
        <w:pStyle w:val="ConsPlusTitle"/>
        <w:jc w:val="center"/>
      </w:pPr>
      <w:r>
        <w:t>РЕШЕНИЕ</w:t>
      </w:r>
    </w:p>
    <w:p w:rsidR="00C44CAB" w:rsidRDefault="00C44CAB">
      <w:pPr>
        <w:pStyle w:val="ConsPlusTitle"/>
        <w:jc w:val="center"/>
      </w:pPr>
      <w:r>
        <w:t>от 23 декабря 2021 г. N 142</w:t>
      </w:r>
    </w:p>
    <w:p w:rsidR="00C44CAB" w:rsidRDefault="00C44CAB">
      <w:pPr>
        <w:pStyle w:val="ConsPlusTitle"/>
        <w:jc w:val="center"/>
      </w:pPr>
    </w:p>
    <w:p w:rsidR="00C44CAB" w:rsidRDefault="00C44CAB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статьями 1</w:t>
        </w:r>
      </w:hyperlink>
      <w:r>
        <w:t xml:space="preserve">, </w:t>
      </w:r>
      <w:hyperlink r:id="rId8">
        <w:r>
          <w:rPr>
            <w:color w:val="0000FF"/>
          </w:rPr>
          <w:t>2</w:t>
        </w:r>
      </w:hyperlink>
      <w:r>
        <w:t xml:space="preserve"> Федерального закона от 01.07.2021 N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07.10.2021 N 83-оз "О внесении изменений в Закон Ханты-Мансийского автономного округа - Югры "О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- Югры", руководствуясь </w:t>
      </w:r>
      <w:hyperlink r:id="rId10">
        <w:r>
          <w:rPr>
            <w:color w:val="0000FF"/>
          </w:rPr>
          <w:t>статьями 18</w:t>
        </w:r>
      </w:hyperlink>
      <w:r>
        <w:t xml:space="preserve">, </w:t>
      </w:r>
      <w:hyperlink r:id="rId11">
        <w:r>
          <w:rPr>
            <w:color w:val="0000FF"/>
          </w:rPr>
          <w:t>19</w:t>
        </w:r>
      </w:hyperlink>
      <w:r>
        <w:t xml:space="preserve">, </w:t>
      </w:r>
      <w:hyperlink r:id="rId12">
        <w:r>
          <w:rPr>
            <w:color w:val="0000FF"/>
          </w:rPr>
          <w:t>42</w:t>
        </w:r>
      </w:hyperlink>
      <w:r>
        <w:t xml:space="preserve">, </w:t>
      </w:r>
      <w:hyperlink r:id="rId13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6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4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 согласно приложению.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 и распространяется на правоотношения, возникшие с 30.09.2021.</w:t>
      </w: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jc w:val="right"/>
      </w:pPr>
      <w:r>
        <w:t>Председатель Думы города Мегиона</w:t>
      </w:r>
    </w:p>
    <w:p w:rsidR="00C44CAB" w:rsidRDefault="00C44CAB">
      <w:pPr>
        <w:pStyle w:val="ConsPlusNormal"/>
        <w:jc w:val="right"/>
      </w:pPr>
      <w:r>
        <w:t>А.А.АЛТАПОВ</w:t>
      </w:r>
    </w:p>
    <w:p w:rsidR="00C44CAB" w:rsidRDefault="00C44CAB">
      <w:pPr>
        <w:pStyle w:val="ConsPlusNormal"/>
      </w:pPr>
      <w:r>
        <w:t>г. Мегион</w:t>
      </w:r>
    </w:p>
    <w:p w:rsidR="00C44CAB" w:rsidRDefault="00C44CAB">
      <w:pPr>
        <w:pStyle w:val="ConsPlusNormal"/>
        <w:spacing w:before="220"/>
      </w:pPr>
      <w:r>
        <w:t>23.12.2021</w:t>
      </w: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jc w:val="right"/>
      </w:pPr>
      <w:r>
        <w:t>Исполняющий обязанности</w:t>
      </w:r>
    </w:p>
    <w:p w:rsidR="00C44CAB" w:rsidRDefault="00C44CAB">
      <w:pPr>
        <w:pStyle w:val="ConsPlusNormal"/>
        <w:jc w:val="right"/>
      </w:pPr>
      <w:r>
        <w:t>главы города Мегиона</w:t>
      </w:r>
    </w:p>
    <w:p w:rsidR="00C44CAB" w:rsidRDefault="00C44CAB">
      <w:pPr>
        <w:pStyle w:val="ConsPlusNormal"/>
        <w:jc w:val="right"/>
      </w:pPr>
      <w:r>
        <w:t>И.Г.АЛЧИНОВ</w:t>
      </w:r>
    </w:p>
    <w:p w:rsidR="00C44CAB" w:rsidRDefault="00C44CAB">
      <w:pPr>
        <w:pStyle w:val="ConsPlusNormal"/>
      </w:pPr>
      <w:r>
        <w:t>г. Мегион</w:t>
      </w:r>
    </w:p>
    <w:p w:rsidR="00C44CAB" w:rsidRDefault="00C44CAB">
      <w:pPr>
        <w:pStyle w:val="ConsPlusNormal"/>
        <w:spacing w:before="220"/>
      </w:pPr>
      <w:r>
        <w:t>23.12.2021</w:t>
      </w: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jc w:val="right"/>
        <w:outlineLvl w:val="0"/>
      </w:pPr>
      <w:r>
        <w:t>Приложение</w:t>
      </w:r>
    </w:p>
    <w:p w:rsidR="00C44CAB" w:rsidRDefault="00C44CAB">
      <w:pPr>
        <w:pStyle w:val="ConsPlusNormal"/>
        <w:jc w:val="right"/>
      </w:pPr>
      <w:r>
        <w:t>к решению Думы</w:t>
      </w:r>
    </w:p>
    <w:p w:rsidR="00C44CAB" w:rsidRDefault="00C44CAB">
      <w:pPr>
        <w:pStyle w:val="ConsPlusNormal"/>
        <w:jc w:val="right"/>
      </w:pPr>
      <w:r>
        <w:t>города Мегиона</w:t>
      </w:r>
    </w:p>
    <w:p w:rsidR="00C44CAB" w:rsidRDefault="00C44CAB">
      <w:pPr>
        <w:pStyle w:val="ConsPlusNormal"/>
        <w:jc w:val="right"/>
      </w:pPr>
      <w:r>
        <w:lastRenderedPageBreak/>
        <w:t>от 23.12.2021 N 142</w:t>
      </w: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Title"/>
        <w:jc w:val="center"/>
      </w:pPr>
      <w:bookmarkStart w:id="0" w:name="P36"/>
      <w:bookmarkEnd w:id="0"/>
      <w:r>
        <w:t>ИЗМЕНЕНИЯ И ДОПОЛНЕНИЯ</w:t>
      </w:r>
    </w:p>
    <w:p w:rsidR="00C44CAB" w:rsidRDefault="00C44CAB">
      <w:pPr>
        <w:pStyle w:val="ConsPlusTitle"/>
        <w:jc w:val="center"/>
      </w:pPr>
      <w:r>
        <w:t>В УСТАВ ГОРОДА МЕГИОНА, ПРИНЯТЫЙ РЕШЕНИЕМ ДУМЫ ГОРОДА</w:t>
      </w:r>
    </w:p>
    <w:p w:rsidR="00C44CAB" w:rsidRDefault="00C44CAB">
      <w:pPr>
        <w:pStyle w:val="ConsPlusTitle"/>
        <w:jc w:val="center"/>
      </w:pPr>
      <w:r>
        <w:t>ОТ 28.06.2005 N 30 (С ИЗМЕНЕНИЯМИ И ДОПОЛНЕНИЯМИ)</w:t>
      </w: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ind w:firstLine="540"/>
        <w:jc w:val="both"/>
      </w:pPr>
      <w:r>
        <w:t xml:space="preserve">1. Дополнить </w:t>
      </w:r>
      <w:hyperlink r:id="rId15">
        <w:r>
          <w:rPr>
            <w:color w:val="0000FF"/>
          </w:rPr>
          <w:t>Устав</w:t>
        </w:r>
      </w:hyperlink>
      <w:r>
        <w:t xml:space="preserve"> города статьей 18.2 следующего содержания: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"Статья 18.2. Досрочное освобождение должностных лиц Контрольно-счетной палаты:</w:t>
      </w: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ind w:firstLine="540"/>
        <w:jc w:val="both"/>
      </w:pPr>
      <w:r>
        <w:t>1. Должностное лицо Контрольно-счетной палаты, замещающее муниципальную должность, досрочно освобождается от должности на основании решения Думы города в случае: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1) вступления в законную силу обвинительного приговора суда в отношении его;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вступившим в законную силу решением суда;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4) подачи письменного заявления об отставке;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Думы города;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6) достижения установленного законом Ханты-Мансийского автономного округа - Югры, нормативным правовым актом Думы города в соответствии с федеральным законом предельного возраста пребывания в должности;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 xml:space="preserve">7) выявления обстоятельств, предусмотренных </w:t>
      </w:r>
      <w:hyperlink r:id="rId16">
        <w:r>
          <w:rPr>
            <w:color w:val="0000FF"/>
          </w:rPr>
          <w:t>частями 4</w:t>
        </w:r>
      </w:hyperlink>
      <w:r>
        <w:t xml:space="preserve"> - </w:t>
      </w:r>
      <w:hyperlink r:id="rId17">
        <w:r>
          <w:rPr>
            <w:color w:val="0000FF"/>
          </w:rPr>
          <w:t>6 статьи 7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 xml:space="preserve">8) несоблюдения ограничений, запретов, неисполнения обязанностей, которые установлены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21">
        <w:r>
          <w:rPr>
            <w:color w:val="0000FF"/>
          </w:rPr>
          <w:t>Устав</w:t>
        </w:r>
      </w:hyperlink>
      <w:r>
        <w:t xml:space="preserve"> города статьей 23.2 следующего содержания: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"Статья 23.2. Гарантии осуществления полномочий председателя и аудитора Контрольно-счетной палаты, замещающих муниципальные должности</w:t>
      </w: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ind w:firstLine="540"/>
        <w:jc w:val="both"/>
      </w:pPr>
      <w:bookmarkStart w:id="1" w:name="P55"/>
      <w:bookmarkEnd w:id="1"/>
      <w:r>
        <w:t>1. Председателю и аудитору Контрольно-счетной палаты, замещающим муниципальные должности, предоставляются следующие гарантии за счет средств бюджета городского округа: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1) денежное содержание;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lastRenderedPageBreak/>
        <w:t>2) надлежащие условия работы, обеспечивающие эффективное осуществление полномочий;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3) ежегодные оплачиваемые отпуска (основной и дополнительные);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4) профессиональное развитие, в том числе получение дополнительного профессионального образования;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5) медицинское обеспечение;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6) ежегодная частичная компенсация расходов на санаторно-курортное обслуживание лица, замещающего муниципальную должность, и его детей, а также оплата проезда к месту санаторно-курортного обслуживания и обратно;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7) компенсация расходов на оплату стоимости проезда и провоза багажа к месту использования отпуска и обратно один раз в два года;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8) возмещение расходов, связанных со служебными командировками;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9) страхование на случай заболевания или потери трудоспособности в период осуществления полномочий на сумму страховой выплаты не более годового денежного содержания лица, замещающего муниципальную должность;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10) дополнительное пенсионное обеспечение;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>11) возмещение расходов, связанных с переездом лица, замещающего муниципальную должность, и членов его семьи из другой местности.</w:t>
      </w:r>
    </w:p>
    <w:p w:rsidR="00C44CAB" w:rsidRDefault="00C44CAB">
      <w:pPr>
        <w:pStyle w:val="ConsPlusNormal"/>
        <w:spacing w:before="220"/>
        <w:ind w:firstLine="540"/>
        <w:jc w:val="both"/>
      </w:pPr>
      <w:r>
        <w:t xml:space="preserve">2. Порядок, условия и размер предоставления гарантий, указанных в </w:t>
      </w:r>
      <w:hyperlink w:anchor="P55">
        <w:r>
          <w:rPr>
            <w:color w:val="0000FF"/>
          </w:rPr>
          <w:t>пункте 1</w:t>
        </w:r>
      </w:hyperlink>
      <w:r>
        <w:t xml:space="preserve"> настоящей статьи, устанавливаются решениями Думы города в соответствии с федеральными законами, законами Ханты-Мансийского автономного округа - Югры и </w:t>
      </w:r>
      <w:hyperlink r:id="rId22">
        <w:r>
          <w:rPr>
            <w:color w:val="0000FF"/>
          </w:rPr>
          <w:t>Уставом</w:t>
        </w:r>
      </w:hyperlink>
      <w:r>
        <w:t xml:space="preserve"> города Мегиона.".</w:t>
      </w: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jc w:val="both"/>
      </w:pPr>
    </w:p>
    <w:p w:rsidR="00C44CAB" w:rsidRDefault="00C44C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6D39" w:rsidRDefault="00856D39">
      <w:bookmarkStart w:id="2" w:name="_GoBack"/>
      <w:bookmarkEnd w:id="2"/>
    </w:p>
    <w:sectPr w:rsidR="00856D39" w:rsidSect="00A4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AB"/>
    <w:rsid w:val="00856D39"/>
    <w:rsid w:val="00C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E5687-5B30-4999-B8EF-0E898985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4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4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94D426F85DCD819DCE54860A97877030B61226D0EBEE40D8B01AEAA19C55E5908B2E454AFB0683A766E01C11F53B15BC3F36C06E30188M2W0J" TargetMode="External"/><Relationship Id="rId13" Type="http://schemas.openxmlformats.org/officeDocument/2006/relationships/hyperlink" Target="consultantplus://offline/ref=80194D426F85DCD819DCFB4576C52F78060837276809B4BA58DD07F9F549C30B1948B4B117EBBC6B3B7D3C5283410AE11B88FE691CFF018E3D3F4EE9M7WEJ" TargetMode="External"/><Relationship Id="rId18" Type="http://schemas.openxmlformats.org/officeDocument/2006/relationships/hyperlink" Target="consultantplus://offline/ref=80194D426F85DCD819DCE54860A97877030B6C2A6909BEE40D8B01AEAA19C55E4B08EAE855ABAF6A3F63385087M4W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194D426F85DCD819DCFB4576C52F7806083727680EBDB359DD07F9F549C30B1948B4B105EBE4673A79245081545CB05DMDWEJ" TargetMode="External"/><Relationship Id="rId7" Type="http://schemas.openxmlformats.org/officeDocument/2006/relationships/hyperlink" Target="consultantplus://offline/ref=80194D426F85DCD819DCE54860A97877030B61226D0EBEE40D8B01AEAA19C55E5908B2E454AFB16A33766E01C11F53B15BC3F36C06E30188M2W0J" TargetMode="External"/><Relationship Id="rId12" Type="http://schemas.openxmlformats.org/officeDocument/2006/relationships/hyperlink" Target="consultantplus://offline/ref=80194D426F85DCD819DCFB4576C52F78060837276809B4BA58DD07F9F549C30B1948B4B117EBBC6B3B7D3F5080410AE11B88FE691CFF018E3D3F4EE9M7WEJ" TargetMode="External"/><Relationship Id="rId17" Type="http://schemas.openxmlformats.org/officeDocument/2006/relationships/hyperlink" Target="consultantplus://offline/ref=80194D426F85DCD819DCE54860A97877030B602B6808BEE40D8B01AEAA19C55E5908B2EC5FFBE02E6E703B549B4A5AAE5DDDF1M6W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194D426F85DCD819DCE54860A97877030B602B6808BEE40D8B01AEAA19C55E5908B2E454AFB16C3A766E01C11F53B15BC3F36C06E30188M2W0J" TargetMode="External"/><Relationship Id="rId20" Type="http://schemas.openxmlformats.org/officeDocument/2006/relationships/hyperlink" Target="consultantplus://offline/ref=80194D426F85DCD819DCE54860A97877030B6C2A6908BEE40D8B01AEAA19C55E4B08EAE855ABAF6A3F63385087M4W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194D426F85DCD819DCE54860A978770403692D630EBEE40D8B01AEAA19C55E5908B2E454AFB46D3E766E01C11F53B15BC3F36C06E30188M2W0J" TargetMode="External"/><Relationship Id="rId11" Type="http://schemas.openxmlformats.org/officeDocument/2006/relationships/hyperlink" Target="consultantplus://offline/ref=80194D426F85DCD819DCFB4576C52F78060837276809B4BA58DD07F9F549C30B1948B4B117EBBC6B3B7D38538C410AE11B88FE691CFF018E3D3F4EE9M7WE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0194D426F85DCD819DCE54860A978770403692D630EBEE40D8B01AEAA19C55E5908B2E454AFB46E32766E01C11F53B15BC3F36C06E30188M2W0J" TargetMode="External"/><Relationship Id="rId15" Type="http://schemas.openxmlformats.org/officeDocument/2006/relationships/hyperlink" Target="consultantplus://offline/ref=80194D426F85DCD819DCFB4576C52F7806083727680EBDB359DD07F9F549C30B1948B4B105EBE4673A79245081545CB05DMDWE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0194D426F85DCD819DCFB4576C52F78060837276809B4BA58DD07F9F549C30B1948B4B117EBBC6B3B7D385283410AE11B88FE691CFF018E3D3F4EE9M7WEJ" TargetMode="External"/><Relationship Id="rId19" Type="http://schemas.openxmlformats.org/officeDocument/2006/relationships/hyperlink" Target="consultantplus://offline/ref=80194D426F85DCD819DCE54860A97877030661226D0CBEE40D8B01AEAA19C55E4B08EAE855ABAF6A3F63385087M4W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194D426F85DCD819DCFB4576C52F7806083727680EB4B155DA07F9F549C30B1948B4B105EBE4673A79245081545CB05DMDWEJ" TargetMode="External"/><Relationship Id="rId14" Type="http://schemas.openxmlformats.org/officeDocument/2006/relationships/hyperlink" Target="consultantplus://offline/ref=80194D426F85DCD819DCFB4576C52F7806083727680EBDB359DD07F9F549C30B1948B4B105EBE4673A79245081545CB05DMDWEJ" TargetMode="External"/><Relationship Id="rId22" Type="http://schemas.openxmlformats.org/officeDocument/2006/relationships/hyperlink" Target="consultantplus://offline/ref=80194D426F85DCD819DCFB4576C52F78060837276809B4BA58DD07F9F549C30B1948B4B105EBE4673A79245081545CB05DMDW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2023-04-14T09:22:00Z</dcterms:created>
  <dcterms:modified xsi:type="dcterms:W3CDTF">2023-04-14T09:22:00Z</dcterms:modified>
</cp:coreProperties>
</file>