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2A" w:rsidRPr="004B722A" w:rsidRDefault="004B722A" w:rsidP="004B722A">
      <w:pPr>
        <w:pStyle w:val="a5"/>
        <w:spacing w:before="0" w:beforeAutospacing="0" w:after="150" w:afterAutospacing="0"/>
        <w:jc w:val="center"/>
        <w:rPr>
          <w:color w:val="333333"/>
        </w:rPr>
      </w:pPr>
      <w:r w:rsidRPr="004B722A">
        <w:rPr>
          <w:color w:val="333333"/>
        </w:rPr>
        <w:t>ПОЛОЖЕНИЕ</w:t>
      </w:r>
      <w:r w:rsidRPr="004B722A">
        <w:rPr>
          <w:color w:val="333333"/>
        </w:rPr>
        <w:br/>
        <w:t>о комиссии по мобилизации доходов в бюджет города Мегиона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>Раздел I. Общие положения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 xml:space="preserve">1.1. Комиссия по мобилизации доходов в бюджет города Мегиона (далее – Комиссия) является коллегиальным постоянно действующим совещательным органом, способствующим оперативному решению вопросов по мобилизации доходов с целью сокращения </w:t>
      </w:r>
      <w:r w:rsidRPr="004B722A">
        <w:rPr>
          <w:color w:val="333333"/>
        </w:rPr>
        <w:t>недоимки и</w:t>
      </w:r>
      <w:r w:rsidRPr="004B722A">
        <w:rPr>
          <w:color w:val="333333"/>
        </w:rPr>
        <w:t xml:space="preserve"> увеличения поступлений в бюджет города Мегиона.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Югры, нормативными правовыми актами органов местного самоуправления муниципального образования города Мегиона, а также настоящим Положением.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>1.3. Решения Комиссии носят рекомендательный характер и могут учитываться при принятии нормативных правовых актов органов местного самоуправления муниципального образования города Мегиона.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>Раздел II. Основные функции Комиссии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>2.1. Обеспечение эффективного взаимодействия исполнительных органов местного самоуправления с исполнительными органами государственной власти автономного округа и с федеральными органами исполнительной власти при реализации мер, направленных на пополнение доходной части бюджета города Мегиона за счет налоговых и неналоговых поступлений.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>2.2. Обеспечение взаимодействия органов местного самоуправления муниципального образования города Мегиона с крупными налогоплательщиками.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>2.3. Выработка предложений по совершенствованию организации работы, связанной с исполнением плановых назначений бюджета города Мегиона по налоговым и неналоговым доходам.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>2.4. Разработка мероприятий, направленных на ликвидацию задолженности предприятий и организаций в бюджеты всех уровней и пополнение доходной части бюджета.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>2.</w:t>
      </w:r>
      <w:proofErr w:type="gramStart"/>
      <w:r w:rsidRPr="004B722A">
        <w:rPr>
          <w:color w:val="333333"/>
        </w:rPr>
        <w:t>5.Выработка</w:t>
      </w:r>
      <w:proofErr w:type="gramEnd"/>
      <w:r w:rsidRPr="004B722A">
        <w:rPr>
          <w:color w:val="333333"/>
        </w:rPr>
        <w:t xml:space="preserve"> предложений по погашению недоимки в бюджеты всех уровней бюджетной системы Российской Федерации в городе Мегионе.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>2.6. Разработка мероприятий по увеличению доходной части бюджета города Мегиона.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>2.7. Разработка рекомендаций, направленных на пополнение доходной части бюджета города Мегиона за счет налоговых и неналоговых поступлений.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>2.8. Обобщение и анализ итогов работы Комиссии.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>Раздел III. Права Комиссии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>Комиссия для выполнения возложенных на нее функций имеет право: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>3.1. Рассматривать на своих заседаниях вопросы, отнесенные к ее компетенции.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 xml:space="preserve">3.2. Запрашивать от администраторов доходов бюджета </w:t>
      </w:r>
      <w:bookmarkStart w:id="0" w:name="_GoBack"/>
      <w:bookmarkEnd w:id="0"/>
      <w:r w:rsidRPr="004B722A">
        <w:rPr>
          <w:color w:val="333333"/>
        </w:rPr>
        <w:t>города Мегиона</w:t>
      </w:r>
      <w:r w:rsidRPr="004B722A">
        <w:rPr>
          <w:color w:val="333333"/>
        </w:rPr>
        <w:t>, органов государственной власти Российской Федерации, органов государственной власти Ханты-Мансийского автономного округа – Югры информацию для организации работы Комиссии.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lastRenderedPageBreak/>
        <w:t>3.3. Запрашивать от должностных лиц предприятий, учреждений и организаций независимо от форм собственности сведения, необходимые для работы комиссии, а также приглашать должностных лиц и граждан для получения от них пояснений по вопросам, рассматриваемым Комиссией.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>3.4. Привлекать к своей работе должностных лиц органов местного самоуправления муниципального образования города Мегиона, а также представителей государственных, общественных организаций, экспертов.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 xml:space="preserve">3.5. </w:t>
      </w:r>
      <w:r w:rsidRPr="004B722A">
        <w:rPr>
          <w:color w:val="333333"/>
        </w:rPr>
        <w:t>Направлять</w:t>
      </w:r>
      <w:r w:rsidRPr="004B722A">
        <w:rPr>
          <w:color w:val="333333"/>
        </w:rPr>
        <w:t xml:space="preserve"> информацию в налоговые и правоохранительные органы для принятия решений в установленном порядке.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>Раздел IV. Порядок работы Комиссии.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>4.1. Заседание Комиссии проводится по мере необходимости, но не реже одного раза в квартал.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>4.2. Работа Комиссии осуществляется путем личного участия ее членов в рассмотрении вопросов (в случае болезни члена комиссии, а также по иным уважительным причинам для участия в ее работе может быть направлено замещающее его лицо).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>4.3. Председатель Комиссии осуществляет руководство работой Комиссии, ведет ее заседания, обеспечивает и контролирует выполнение решений Комиссий, утверждает план мероприятий по увеличению собственной доходной базы городского округа город Мегион.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>4.4. Комиссия правомочна решать вопросы, если на ее заседании присутствуют две трети от установленного числа ее членов.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>4.5. Члены Комиссии участвуют в ее работе с правом решающего голоса. Лица, направленные членами Комиссии для участия в заседании, принимают участие в работе Комиссии с правом совещательного голоса.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>4.6. Комиссия принимает решения по рассматриваемым вопросам открытым голосованием, большинством голосов от числа присутствующих на заседании членов Комиссии. При равенстве голосов «за» и «против» предлагаемого решения вопроса правом решающего голоса обладает председательствующий на заседании Комиссии.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>4.7. Результаты рассмотрения вопросов на заседании Комиссии оформляются протоколом заседания Комиссии, подписываются секретарем Комиссии и утверждаются ее председателем.</w:t>
      </w:r>
    </w:p>
    <w:p w:rsidR="004B722A" w:rsidRPr="004B722A" w:rsidRDefault="004B722A" w:rsidP="004B722A">
      <w:pPr>
        <w:pStyle w:val="a5"/>
        <w:spacing w:before="0" w:beforeAutospacing="0" w:after="150" w:afterAutospacing="0"/>
        <w:rPr>
          <w:color w:val="333333"/>
        </w:rPr>
      </w:pPr>
      <w:r w:rsidRPr="004B722A">
        <w:rPr>
          <w:color w:val="333333"/>
        </w:rPr>
        <w:t>4.8. При необходимости решения Комиссии публикуются в средствах массовой информации.</w:t>
      </w:r>
    </w:p>
    <w:p w:rsidR="00CB289F" w:rsidRPr="004B722A" w:rsidRDefault="00CB289F">
      <w:pPr>
        <w:rPr>
          <w:rFonts w:cs="Times New Roman"/>
          <w:szCs w:val="24"/>
        </w:rPr>
      </w:pPr>
    </w:p>
    <w:sectPr w:rsidR="00CB289F" w:rsidRPr="004B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2A"/>
    <w:rsid w:val="000A6EB6"/>
    <w:rsid w:val="00412E62"/>
    <w:rsid w:val="004B722A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BA79E-B9F4-49EA-985B-E833E2F9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4B722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2022-08-09T04:53:00Z</dcterms:created>
  <dcterms:modified xsi:type="dcterms:W3CDTF">2022-08-09T05:03:00Z</dcterms:modified>
</cp:coreProperties>
</file>